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291"/>
        <w:spacing w:before="572" w:line="219" w:lineRule="auto"/>
        <w:rPr>
          <w:rFonts w:ascii="SimSun" w:hAnsi="SimSun" w:eastAsia="SimSun" w:cs="SimSun"/>
          <w:sz w:val="176"/>
          <w:szCs w:val="176"/>
        </w:rPr>
      </w:pPr>
      <w:r>
        <w:rPr>
          <w:rFonts w:ascii="SimSun" w:hAnsi="SimSun" w:eastAsia="SimSun" w:cs="SimSun"/>
          <w:sz w:val="176"/>
          <w:szCs w:val="176"/>
          <w:color w:val="E5163C"/>
          <w14:textOutline w14:w="31965" w14:cap="flat" w14:cmpd="sng">
            <w14:solidFill>
              <w14:srgbClr w14:val="E5163C"/>
            </w14:solidFill>
            <w14:prstDash w14:val="solid"/>
            <w14:miter w14:lim="10"/>
          </w14:textOutline>
          <w:spacing w:val="-91"/>
          <w:w w:val="52"/>
        </w:rPr>
        <w:t>合肥市医疗保障局文件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ind w:firstLine="2839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合医保发〔2021〕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26号</w:t>
      </w:r>
    </w:p>
    <w:p>
      <w:pPr>
        <w:spacing w:before="176" w:line="80" w:lineRule="exact"/>
        <w:textAlignment w:val="center"/>
        <w:rPr/>
      </w:pPr>
      <w:r>
        <w:drawing>
          <wp:inline distT="0" distB="0" distL="0" distR="0">
            <wp:extent cx="5632411" cy="50784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32411" cy="5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4" w:lineRule="auto"/>
        <w:rPr>
          <w:rFonts w:ascii="Arial"/>
          <w:sz w:val="21"/>
        </w:rPr>
      </w:pPr>
      <w:r/>
    </w:p>
    <w:p>
      <w:pPr>
        <w:ind w:left="1606" w:right="526" w:hanging="1060"/>
        <w:spacing w:before="143" w:line="262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关于印发《合肥市基本医疗保险慢性病、</w:t>
      </w:r>
      <w:r>
        <w:rPr>
          <w:rFonts w:ascii="SimSun" w:hAnsi="SimSun" w:eastAsia="SimSun" w:cs="SimSun"/>
          <w:sz w:val="44"/>
          <w:szCs w:val="44"/>
          <w:spacing w:val="3"/>
        </w:rPr>
        <w:t> </w:t>
      </w: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特殊病门诊管理办法》的通知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229" w:right="177"/>
        <w:spacing w:before="105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各县</w:t>
      </w:r>
      <w:r>
        <w:rPr>
          <w:rFonts w:ascii="FangSong" w:hAnsi="FangSong" w:eastAsia="FangSong" w:cs="FangSong"/>
          <w:sz w:val="32"/>
          <w:szCs w:val="32"/>
          <w:spacing w:val="-37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(</w:t>
      </w:r>
      <w:r>
        <w:rPr>
          <w:rFonts w:ascii="FangSong" w:hAnsi="FangSong" w:eastAsia="FangSong" w:cs="FangSong"/>
          <w:sz w:val="32"/>
          <w:szCs w:val="32"/>
          <w:spacing w:val="-87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市)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区医疗保障局,各开发区社会事业(发展)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局</w:t>
      </w:r>
      <w:r>
        <w:rPr>
          <w:rFonts w:ascii="FangSong" w:hAnsi="FangSong" w:eastAsia="FangSong" w:cs="FangSong"/>
          <w:sz w:val="32"/>
          <w:szCs w:val="32"/>
          <w:spacing w:val="-40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,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相关医药机构:</w:t>
      </w:r>
    </w:p>
    <w:p>
      <w:pPr>
        <w:ind w:left="269" w:right="10" w:firstLine="610"/>
        <w:spacing w:before="1" w:line="34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现将《合肥市基本医疗保险慢性病、特殊病门诊管理办法》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13"/>
        </w:rPr>
        <w:t>印发给你们,请遵照执行.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5619"/>
        <w:spacing w:before="124" w:line="222" w:lineRule="auto"/>
        <w:rPr>
          <w:rFonts w:ascii="FangSong" w:hAnsi="FangSong" w:eastAsia="FangSong" w:cs="FangSong"/>
          <w:sz w:val="38"/>
          <w:szCs w:val="3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3638505</wp:posOffset>
            </wp:positionH>
            <wp:positionV relativeFrom="paragraph">
              <wp:posOffset>-810485</wp:posOffset>
            </wp:positionV>
            <wp:extent cx="1543088" cy="154941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88" cy="154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8"/>
          <w:szCs w:val="38"/>
          <w:spacing w:val="-2"/>
        </w:rPr>
        <w:t>2021年12月31日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firstLine="7639"/>
        <w:spacing w:before="125" w:line="181" w:lineRule="auto"/>
        <w:rPr>
          <w:rFonts w:ascii="FangSong" w:hAnsi="FangSong" w:eastAsia="FangSong" w:cs="FangSong"/>
          <w:sz w:val="38"/>
          <w:szCs w:val="38"/>
        </w:rPr>
      </w:pPr>
      <w:r>
        <w:rPr>
          <w:rFonts w:ascii="FangSong" w:hAnsi="FangSong" w:eastAsia="FangSong" w:cs="FangSong"/>
          <w:sz w:val="38"/>
          <w:szCs w:val="38"/>
        </w:rPr>
        <w:t>─1─</w:t>
      </w:r>
    </w:p>
    <w:p>
      <w:pPr>
        <w:sectPr>
          <w:pgSz w:w="11660" w:h="16660"/>
          <w:pgMar w:top="1416" w:right="1470" w:bottom="0" w:left="1320" w:header="0" w:footer="0" w:gutter="0"/>
        </w:sectPr>
        <w:rPr/>
      </w:pPr>
    </w:p>
    <w:p>
      <w:pPr>
        <w:spacing w:line="476" w:lineRule="auto"/>
        <w:rPr>
          <w:rFonts w:ascii="Arial"/>
          <w:sz w:val="21"/>
        </w:rPr>
      </w:pPr>
      <w:r/>
    </w:p>
    <w:p>
      <w:pPr>
        <w:ind w:left="3166" w:right="739" w:hanging="2000"/>
        <w:spacing w:before="143" w:line="266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合肥市基本医疗保险慢性病、特殊病</w:t>
      </w:r>
      <w:r>
        <w:rPr>
          <w:rFonts w:ascii="SimSun" w:hAnsi="SimSun" w:eastAsia="SimSun" w:cs="SimSun"/>
          <w:sz w:val="44"/>
          <w:szCs w:val="44"/>
          <w:spacing w:val="12"/>
        </w:rPr>
        <w:t> </w:t>
      </w: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门诊管理办法</w:t>
      </w:r>
    </w:p>
    <w:p>
      <w:pPr>
        <w:spacing w:line="445" w:lineRule="auto"/>
        <w:rPr>
          <w:rFonts w:ascii="Arial"/>
          <w:sz w:val="21"/>
        </w:rPr>
      </w:pPr>
      <w:r/>
    </w:p>
    <w:p>
      <w:pPr>
        <w:ind w:firstLine="3504"/>
        <w:spacing w:before="124" w:line="222" w:lineRule="auto"/>
        <w:rPr>
          <w:rFonts w:ascii="SimHei" w:hAnsi="SimHei" w:eastAsia="SimHei" w:cs="SimHei"/>
          <w:sz w:val="38"/>
          <w:szCs w:val="38"/>
        </w:rPr>
      </w:pPr>
      <w:r>
        <w:rPr>
          <w:rFonts w:ascii="SimHei" w:hAnsi="SimHei" w:eastAsia="SimHei" w:cs="SimHei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lim="10"/>
          </w14:textOutline>
          <w:spacing w:val="-35"/>
          <w:w w:val="93"/>
        </w:rPr>
        <w:t>第一章</w:t>
      </w:r>
      <w:r>
        <w:rPr>
          <w:rFonts w:ascii="SimHei" w:hAnsi="SimHei" w:eastAsia="SimHei" w:cs="SimHei"/>
          <w:sz w:val="38"/>
          <w:szCs w:val="38"/>
          <w:spacing w:val="179"/>
        </w:rPr>
        <w:t> </w:t>
      </w:r>
      <w:r>
        <w:rPr>
          <w:rFonts w:ascii="SimHei" w:hAnsi="SimHei" w:eastAsia="SimHei" w:cs="SimHei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lim="10"/>
          </w14:textOutline>
          <w:spacing w:val="-35"/>
          <w:w w:val="93"/>
        </w:rPr>
        <w:t>总则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ind w:right="19" w:firstLine="644"/>
        <w:spacing w:before="104" w:line="34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5"/>
        </w:rPr>
        <w:t>第一条</w:t>
      </w:r>
      <w:r>
        <w:rPr>
          <w:rFonts w:ascii="FangSong" w:hAnsi="FangSong" w:eastAsia="FangSong" w:cs="FangSong"/>
          <w:sz w:val="32"/>
          <w:szCs w:val="32"/>
          <w:spacing w:val="15"/>
        </w:rPr>
        <w:t>为规范我市慢性病、特殊病(以下简称慢特病)</w:t>
      </w:r>
      <w:r>
        <w:rPr>
          <w:rFonts w:ascii="FangSong" w:hAnsi="FangSong" w:eastAsia="FangSong" w:cs="FangSong"/>
          <w:sz w:val="32"/>
          <w:szCs w:val="32"/>
          <w:spacing w:val="-12"/>
        </w:rPr>
        <w:t> </w:t>
      </w:r>
      <w:r>
        <w:rPr>
          <w:rFonts w:ascii="FangSong" w:hAnsi="FangSong" w:eastAsia="FangSong" w:cs="FangSong"/>
          <w:sz w:val="32"/>
          <w:szCs w:val="32"/>
          <w:spacing w:val="15"/>
        </w:rPr>
        <w:t>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诊管理,保障参保人员慢特病门诊医疗需求,切实减轻患者门诊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医疗负担,引导参保人员合理选择门诊治疗,提高医疗保险基金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使用效率,根据《安徽省基本医疗保险门诊慢性病、特殊病管理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办法(试行)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》(皖医保秘〔2020〕132号)</w:t>
      </w:r>
      <w:r>
        <w:rPr>
          <w:rFonts w:ascii="FangSong" w:hAnsi="FangSong" w:eastAsia="FangSong" w:cs="FangSong"/>
          <w:sz w:val="32"/>
          <w:szCs w:val="32"/>
          <w:spacing w:val="-2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、《合肥市基本医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疗保险办法》(合肥市政府令第213号)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等规定,结合我市实际,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制定本办法。</w:t>
      </w:r>
    </w:p>
    <w:p>
      <w:pPr>
        <w:ind w:right="20" w:firstLine="644"/>
        <w:spacing w:line="3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第二条</w:t>
      </w:r>
      <w:r>
        <w:rPr>
          <w:rFonts w:ascii="FangSong" w:hAnsi="FangSong" w:eastAsia="FangSong" w:cs="FangSong"/>
          <w:sz w:val="32"/>
          <w:szCs w:val="32"/>
          <w:spacing w:val="22"/>
        </w:rPr>
        <w:t>本办法适用于本市行政区域内城镇职工基本医疗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保险、城乡居民基本医疗保险参保人员的慢特病门诊管理和待遇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支付。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firstLine="3254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</w:rPr>
        <w:t>第二章病种认定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ind w:firstLine="644"/>
        <w:spacing w:before="105" w:line="35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第三条</w:t>
      </w:r>
      <w:r>
        <w:rPr>
          <w:rFonts w:ascii="FangSong" w:hAnsi="FangSong" w:eastAsia="FangSong" w:cs="FangSong"/>
          <w:sz w:val="32"/>
          <w:szCs w:val="32"/>
          <w:spacing w:val="9"/>
        </w:rPr>
        <w:t>门诊慢特病病种范围按照《安徽省基本医疗保险门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诊慢特病病种目录》(皖医保秘〔2021〕</w:t>
      </w:r>
      <w:r>
        <w:rPr>
          <w:rFonts w:ascii="FangSong" w:hAnsi="FangSong" w:eastAsia="FangSong" w:cs="FangSong"/>
          <w:sz w:val="32"/>
          <w:szCs w:val="32"/>
          <w:spacing w:val="8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36号,以下简称《病种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目录》)</w:t>
      </w:r>
      <w:r>
        <w:rPr>
          <w:rFonts w:ascii="FangSong" w:hAnsi="FangSong" w:eastAsia="FangSong" w:cs="FangSong"/>
          <w:sz w:val="32"/>
          <w:szCs w:val="32"/>
          <w:spacing w:val="-13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规定执行.市医保部门根据疾病谱变化、参保人员医疗</w:t>
      </w:r>
    </w:p>
    <w:p>
      <w:pPr>
        <w:ind w:firstLine="290"/>
        <w:spacing w:before="342" w:line="18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一</w:t>
      </w:r>
      <w:r>
        <w:rPr>
          <w:rFonts w:ascii="FangSong" w:hAnsi="FangSong" w:eastAsia="FangSong" w:cs="FangSong"/>
          <w:sz w:val="32"/>
          <w:szCs w:val="32"/>
          <w:spacing w:val="-39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2</w:t>
      </w:r>
      <w:r>
        <w:rPr>
          <w:rFonts w:ascii="FangSong" w:hAnsi="FangSong" w:eastAsia="FangSong" w:cs="FangSong"/>
          <w:sz w:val="32"/>
          <w:szCs w:val="32"/>
          <w:spacing w:val="-27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一</w:t>
      </w:r>
    </w:p>
    <w:p>
      <w:pPr>
        <w:sectPr>
          <w:pgSz w:w="11680" w:h="16670"/>
          <w:pgMar w:top="1416" w:right="1346" w:bottom="0" w:left="1440" w:header="0" w:footer="0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right="40"/>
        <w:spacing w:before="104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保障需求、医保基金收支情况,适时向省医保部门提出病种调整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意见</w:t>
      </w:r>
      <w:r>
        <w:rPr>
          <w:rFonts w:ascii="FangSong" w:hAnsi="FangSong" w:eastAsia="FangSong" w:cs="FangSong"/>
          <w:sz w:val="32"/>
          <w:szCs w:val="32"/>
          <w:spacing w:val="-8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.</w:t>
      </w:r>
      <w:r>
        <w:rPr>
          <w:rFonts w:ascii="FangSong" w:hAnsi="FangSong" w:eastAsia="FangSong" w:cs="FangSong"/>
          <w:sz w:val="32"/>
          <w:szCs w:val="32"/>
          <w:spacing w:val="-90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各县</w:t>
      </w:r>
      <w:r>
        <w:rPr>
          <w:rFonts w:ascii="FangSong" w:hAnsi="FangSong" w:eastAsia="FangSong" w:cs="FangSong"/>
          <w:sz w:val="32"/>
          <w:szCs w:val="32"/>
          <w:spacing w:val="-4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(</w:t>
      </w:r>
      <w:r>
        <w:rPr>
          <w:rFonts w:ascii="FangSong" w:hAnsi="FangSong" w:eastAsia="FangSong" w:cs="FangSong"/>
          <w:sz w:val="32"/>
          <w:szCs w:val="32"/>
          <w:spacing w:val="-8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市)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医保部门不得自行调整慢特病病种.</w:t>
      </w:r>
    </w:p>
    <w:p>
      <w:pPr>
        <w:ind w:firstLine="634"/>
        <w:spacing w:line="62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  <w:position w:val="22"/>
        </w:rPr>
        <w:t>第四条</w:t>
      </w:r>
      <w:r>
        <w:rPr>
          <w:rFonts w:ascii="FangSong" w:hAnsi="FangSong" w:eastAsia="FangSong" w:cs="FangSong"/>
          <w:sz w:val="32"/>
          <w:szCs w:val="32"/>
          <w:spacing w:val="3"/>
          <w:position w:val="22"/>
        </w:rPr>
        <w:t>:门诊慢特病认定标准按照《安徽省基本医疗保险门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诊慢特病病种认定标准》(以下简称《认定标准》)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规定执行.</w:t>
      </w:r>
    </w:p>
    <w:p>
      <w:pPr>
        <w:ind w:right="3" w:firstLine="634"/>
        <w:spacing w:before="198" w:line="34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第五条</w:t>
      </w:r>
      <w:r>
        <w:rPr>
          <w:rFonts w:ascii="FangSong" w:hAnsi="FangSong" w:eastAsia="FangSong" w:cs="FangSong"/>
          <w:sz w:val="32"/>
          <w:szCs w:val="32"/>
          <w:spacing w:val="10"/>
        </w:rPr>
        <w:t>各级医保经办机构负责本地门诊慢特病申请受理、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组织临床专家开展认定和认定结果反馈工作。临床专家以疾病诊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断、特征性检查结果等客观材料为依据,按照《认定标准》和疾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病治疗需要开展门诊慢特病认定工作。门诊慢特病认定坚持客观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公正、实事求是原则，主动接受相关部门的监督。</w:t>
      </w:r>
    </w:p>
    <w:p>
      <w:pPr>
        <w:ind w:firstLine="634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</w:rPr>
        <w:t>第六条</w:t>
      </w:r>
      <w:r>
        <w:rPr>
          <w:rFonts w:ascii="FangSong" w:hAnsi="FangSong" w:eastAsia="FangSong" w:cs="FangSong"/>
          <w:sz w:val="32"/>
          <w:szCs w:val="32"/>
          <w:spacing w:val="16"/>
        </w:rPr>
        <w:t>门诊慢特病按下列程序申请</w:t>
      </w:r>
      <w:r>
        <w:rPr>
          <w:rFonts w:ascii="FangSong" w:hAnsi="FangSong" w:eastAsia="FangSong" w:cs="FangSong"/>
          <w:sz w:val="32"/>
          <w:szCs w:val="32"/>
          <w:spacing w:val="-76"/>
        </w:rPr>
        <w:t> </w:t>
      </w:r>
      <w:r>
        <w:rPr>
          <w:rFonts w:ascii="FangSong" w:hAnsi="FangSong" w:eastAsia="FangSong" w:cs="FangSong"/>
          <w:sz w:val="32"/>
          <w:szCs w:val="32"/>
          <w:spacing w:val="16"/>
        </w:rPr>
        <w:t>:</w:t>
      </w:r>
    </w:p>
    <w:p>
      <w:pPr>
        <w:ind w:right="11" w:firstLine="779"/>
        <w:spacing w:before="211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(</w:t>
      </w:r>
      <w:r>
        <w:rPr>
          <w:rFonts w:ascii="FangSong" w:hAnsi="FangSong" w:eastAsia="FangSong" w:cs="FangSong"/>
          <w:sz w:val="32"/>
          <w:szCs w:val="32"/>
          <w:spacing w:val="-61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一)</w:t>
      </w:r>
      <w:r>
        <w:rPr>
          <w:rFonts w:ascii="FangSong" w:hAnsi="FangSong" w:eastAsia="FangSong" w:cs="FangSong"/>
          <w:sz w:val="32"/>
          <w:szCs w:val="32"/>
          <w:spacing w:val="-91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申请.参保人员向参保地医保经办机构申请,提交《合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9"/>
        </w:rPr>
        <w:t>肥市基本医疗保险慢特病门诊待遇申请表》(附件3)</w:t>
      </w:r>
      <w:r>
        <w:rPr>
          <w:rFonts w:ascii="FangSong" w:hAnsi="FangSong" w:eastAsia="FangSong" w:cs="FangSong"/>
          <w:sz w:val="32"/>
          <w:szCs w:val="32"/>
          <w:spacing w:val="-6"/>
        </w:rPr>
        <w:t> </w:t>
      </w:r>
      <w:r>
        <w:rPr>
          <w:rFonts w:ascii="FangSong" w:hAnsi="FangSong" w:eastAsia="FangSong" w:cs="FangSong"/>
          <w:sz w:val="32"/>
          <w:szCs w:val="32"/>
          <w:spacing w:val="9"/>
        </w:rPr>
        <w:t>,</w:t>
      </w:r>
      <w:r>
        <w:rPr>
          <w:rFonts w:ascii="FangSong" w:hAnsi="FangSong" w:eastAsia="FangSong" w:cs="FangSong"/>
          <w:sz w:val="32"/>
          <w:szCs w:val="32"/>
          <w:spacing w:val="-35"/>
        </w:rPr>
        <w:t> </w:t>
      </w:r>
      <w:r>
        <w:rPr>
          <w:rFonts w:ascii="FangSong" w:hAnsi="FangSong" w:eastAsia="FangSong" w:cs="FangSong"/>
          <w:sz w:val="32"/>
          <w:szCs w:val="32"/>
          <w:spacing w:val="9"/>
        </w:rPr>
        <w:t>门诊治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疗的提供相关门诊病历、检查报告单以及与认定标准对应的药品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发票单据,住院治疗的提供出院记录(疾病诊断材料)</w:t>
      </w:r>
      <w:r>
        <w:rPr>
          <w:rFonts w:ascii="FangSong" w:hAnsi="FangSong" w:eastAsia="FangSong" w:cs="FangSong"/>
          <w:sz w:val="32"/>
          <w:szCs w:val="32"/>
          <w:spacing w:val="99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等材料.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参保人员也可以通过医保网上服务平台提出申请,按步骤指引提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交相关材料。</w:t>
      </w:r>
    </w:p>
    <w:p>
      <w:pPr>
        <w:ind w:right="38" w:firstLine="779"/>
        <w:spacing w:line="34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(二)</w:t>
      </w:r>
      <w:r>
        <w:rPr>
          <w:rFonts w:ascii="FangSong" w:hAnsi="FangSong" w:eastAsia="FangSong" w:cs="FangSong"/>
          <w:sz w:val="32"/>
          <w:szCs w:val="32"/>
          <w:spacing w:val="51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认定.医保经办机构组织临床专家开展认定,参加认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定的专家,应具备副高级及以上专业技术职称.申请材料齐全的,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医保经办机构应在15个工作日内完成认定。</w:t>
      </w:r>
    </w:p>
    <w:p>
      <w:pPr>
        <w:ind w:right="20" w:firstLine="779"/>
        <w:spacing w:before="1" w:line="34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(三)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结果查询.参保人员可以通过合肥医保网上服务平台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查询认定结果.通过认定的,自认定次日起享受慢特病门诊待遇;</w:t>
      </w:r>
    </w:p>
    <w:p>
      <w:pPr>
        <w:sectPr>
          <w:footerReference w:type="default" r:id="rId3"/>
          <w:pgSz w:w="11660" w:h="16620"/>
          <w:pgMar w:top="1412" w:right="1406" w:bottom="1644" w:left="1360" w:header="0" w:footer="1324" w:gutter="0"/>
        </w:sectPr>
        <w:rPr/>
      </w:pP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不符合条件的,医保经办机构应及时通知参保人员.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firstLine="3244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第三章支付范围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firstLine="634"/>
        <w:spacing w:before="104" w:line="34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第七条</w:t>
      </w:r>
      <w:r>
        <w:rPr>
          <w:rFonts w:ascii="FangSong" w:hAnsi="FangSong" w:eastAsia="FangSong" w:cs="FangSong"/>
          <w:sz w:val="32"/>
          <w:szCs w:val="32"/>
          <w:spacing w:val="2"/>
        </w:rPr>
        <w:t>:慢特病门诊用药按照《安徽省基本医疗保险门诊慢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特病用药目录》(以下简称《用药目录》)</w:t>
      </w:r>
      <w:r>
        <w:rPr>
          <w:rFonts w:ascii="FangSong" w:hAnsi="FangSong" w:eastAsia="FangSong" w:cs="FangSong"/>
          <w:sz w:val="32"/>
          <w:szCs w:val="32"/>
          <w:spacing w:val="37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规定执行.《用药目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录》内药品的限定支付范围、乙类先付比例等与《基本医疗保险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药品目录》的规定一致。</w:t>
      </w:r>
    </w:p>
    <w:p>
      <w:pPr>
        <w:ind w:right="19" w:firstLine="634"/>
        <w:spacing w:line="35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第八条</w:t>
      </w:r>
      <w:r>
        <w:rPr>
          <w:rFonts w:ascii="FangSong" w:hAnsi="FangSong" w:eastAsia="FangSong" w:cs="FangSong"/>
          <w:sz w:val="32"/>
          <w:szCs w:val="32"/>
          <w:spacing w:val="7"/>
        </w:rPr>
        <w:t>在省慢特病门诊诊疗项目、医用耗材等目录制定实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施前,门诊慢特病必需的治疗、检查和医用材料等费用,按基本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医保规定纳入门诊慢特病支付范围。超用药目录、与该病种无关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的治疗、检查和材料费用,医保基金不予支付.</w:t>
      </w:r>
    </w:p>
    <w:p>
      <w:pPr>
        <w:spacing w:line="466" w:lineRule="auto"/>
        <w:rPr>
          <w:rFonts w:ascii="Arial"/>
          <w:sz w:val="21"/>
        </w:rPr>
      </w:pPr>
      <w:r/>
    </w:p>
    <w:p>
      <w:pPr>
        <w:ind w:firstLine="3234"/>
        <w:spacing w:before="105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第四章保障待遇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ind w:right="13" w:firstLine="634"/>
        <w:spacing w:before="105" w:line="3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第九条</w:t>
      </w:r>
      <w:r>
        <w:rPr>
          <w:rFonts w:ascii="FangSong" w:hAnsi="FangSong" w:eastAsia="FangSong" w:cs="FangSong"/>
          <w:sz w:val="32"/>
          <w:szCs w:val="32"/>
          <w:spacing w:val="14"/>
        </w:rPr>
        <w:t>参保人员(单纯患有高血压、糖尿病的参保居民除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外)</w:t>
      </w:r>
      <w:r>
        <w:rPr>
          <w:rFonts w:ascii="FangSong" w:hAnsi="FangSong" w:eastAsia="FangSong" w:cs="FangSong"/>
          <w:sz w:val="32"/>
          <w:szCs w:val="32"/>
          <w:spacing w:val="-14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在定点医药机构发生符合规定的慢特病门诊医疗费用,按下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列规定执行:</w:t>
      </w:r>
    </w:p>
    <w:p>
      <w:pPr>
        <w:ind w:right="14" w:firstLine="770"/>
        <w:spacing w:before="4" w:line="35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(一)</w:t>
      </w:r>
      <w:r>
        <w:rPr>
          <w:rFonts w:ascii="FangSong" w:hAnsi="FangSong" w:eastAsia="FangSong" w:cs="FangSong"/>
          <w:sz w:val="32"/>
          <w:szCs w:val="32"/>
          <w:spacing w:val="6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起付标准.比照年度就诊最高级别医疗机构住院医保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7"/>
        </w:rPr>
        <w:t>起付标准执行,一个年度计算一次起付标准.申请享受慢特病门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诊待遇不满12个月的,按实际享受待遇月数计算确定起付标准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279"/>
        <w:spacing w:before="104" w:line="18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一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4</w:t>
      </w:r>
      <w:r>
        <w:rPr>
          <w:rFonts w:ascii="FangSong" w:hAnsi="FangSong" w:eastAsia="FangSong" w:cs="FangSong"/>
          <w:sz w:val="32"/>
          <w:szCs w:val="32"/>
          <w:spacing w:val="-28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一</w:t>
      </w:r>
    </w:p>
    <w:p>
      <w:pPr>
        <w:sectPr>
          <w:footerReference w:type="default" r:id="rId4"/>
          <w:pgSz w:w="11660" w:h="16620"/>
          <w:pgMar w:top="1412" w:right="1401" w:bottom="400" w:left="1400" w:header="0" w:footer="0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right="142"/>
        <w:spacing w:before="110" w:line="346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2"/>
        </w:rPr>
        <w:t>和支付限额.家庭医生签约患者定点在基层医疗机构的,免除起</w:t>
      </w:r>
      <w:r>
        <w:rPr>
          <w:rFonts w:ascii="FangSong" w:hAnsi="FangSong" w:eastAsia="FangSong" w:cs="FangSong"/>
          <w:sz w:val="34"/>
          <w:szCs w:val="34"/>
          <w:spacing w:val="8"/>
        </w:rPr>
        <w:t> </w:t>
      </w:r>
      <w:r>
        <w:rPr>
          <w:rFonts w:ascii="FangSong" w:hAnsi="FangSong" w:eastAsia="FangSong" w:cs="FangSong"/>
          <w:sz w:val="34"/>
          <w:szCs w:val="34"/>
          <w:spacing w:val="-27"/>
        </w:rPr>
        <w:t>付标准。</w:t>
      </w:r>
    </w:p>
    <w:p>
      <w:pPr>
        <w:ind w:firstLine="780"/>
        <w:spacing w:before="5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2"/>
        </w:rPr>
        <w:t>(二)</w:t>
      </w:r>
      <w:r>
        <w:rPr>
          <w:rFonts w:ascii="FangSong" w:hAnsi="FangSong" w:eastAsia="FangSong" w:cs="FangSong"/>
          <w:sz w:val="34"/>
          <w:szCs w:val="34"/>
          <w:spacing w:val="12"/>
        </w:rPr>
        <w:t> </w:t>
      </w:r>
      <w:r>
        <w:rPr>
          <w:rFonts w:ascii="FangSong" w:hAnsi="FangSong" w:eastAsia="FangSong" w:cs="FangSong"/>
          <w:sz w:val="34"/>
          <w:szCs w:val="34"/>
          <w:spacing w:val="-12"/>
        </w:rPr>
        <w:t>支付比例.比照就诊医疗机构住院支付比例执行.</w:t>
      </w:r>
    </w:p>
    <w:p>
      <w:pPr>
        <w:ind w:right="109" w:firstLine="780"/>
        <w:spacing w:before="185" w:line="319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8"/>
        </w:rPr>
        <w:t>(三)</w:t>
      </w:r>
      <w:r>
        <w:rPr>
          <w:rFonts w:ascii="FangSong" w:hAnsi="FangSong" w:eastAsia="FangSong" w:cs="FangSong"/>
          <w:sz w:val="34"/>
          <w:szCs w:val="34"/>
          <w:spacing w:val="-17"/>
        </w:rPr>
        <w:t> </w:t>
      </w:r>
      <w:r>
        <w:rPr>
          <w:rFonts w:ascii="FangSong" w:hAnsi="FangSong" w:eastAsia="FangSong" w:cs="FangSong"/>
          <w:sz w:val="34"/>
          <w:szCs w:val="34"/>
          <w:spacing w:val="-8"/>
        </w:rPr>
        <w:t>支付限额.按病种设定慢特病门诊年度支付限额.同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8"/>
        </w:rPr>
        <w:t>一病种根据病情严重程度分别设定限额,不同时享受(附件1);</w:t>
      </w:r>
      <w:r>
        <w:rPr>
          <w:rFonts w:ascii="FangSong" w:hAnsi="FangSong" w:eastAsia="FangSong" w:cs="FangSong"/>
          <w:sz w:val="34"/>
          <w:szCs w:val="34"/>
          <w:spacing w:val="25"/>
        </w:rPr>
        <w:t> </w:t>
      </w:r>
      <w:r>
        <w:rPr>
          <w:rFonts w:ascii="FangSong" w:hAnsi="FangSong" w:eastAsia="FangSong" w:cs="FangSong"/>
          <w:sz w:val="34"/>
          <w:szCs w:val="34"/>
          <w:spacing w:val="-12"/>
        </w:rPr>
        <w:t>同时患多种慢特病的,以支付限额最高的病种为基数,每增加一</w:t>
      </w:r>
      <w:r>
        <w:rPr>
          <w:rFonts w:ascii="FangSong" w:hAnsi="FangSong" w:eastAsia="FangSong" w:cs="FangSong"/>
          <w:sz w:val="34"/>
          <w:szCs w:val="34"/>
          <w:spacing w:val="13"/>
        </w:rPr>
        <w:t> </w:t>
      </w:r>
      <w:r>
        <w:rPr>
          <w:rFonts w:ascii="FangSong" w:hAnsi="FangSong" w:eastAsia="FangSong" w:cs="FangSong"/>
          <w:sz w:val="34"/>
          <w:szCs w:val="34"/>
        </w:rPr>
        <w:t>个病种,按照增加病种限额的60%增加支付额度;关联病种(附</w:t>
      </w:r>
      <w:r>
        <w:rPr>
          <w:rFonts w:ascii="FangSong" w:hAnsi="FangSong" w:eastAsia="FangSong" w:cs="FangSong"/>
          <w:sz w:val="34"/>
          <w:szCs w:val="34"/>
          <w:spacing w:val="16"/>
        </w:rPr>
        <w:t> </w:t>
      </w:r>
      <w:r>
        <w:rPr>
          <w:rFonts w:ascii="FangSong" w:hAnsi="FangSong" w:eastAsia="FangSong" w:cs="FangSong"/>
          <w:sz w:val="34"/>
          <w:szCs w:val="34"/>
          <w:spacing w:val="4"/>
        </w:rPr>
        <w:t>件2)</w:t>
      </w:r>
      <w:r>
        <w:rPr>
          <w:rFonts w:ascii="FangSong" w:hAnsi="FangSong" w:eastAsia="FangSong" w:cs="FangSong"/>
          <w:sz w:val="34"/>
          <w:szCs w:val="34"/>
          <w:spacing w:val="14"/>
        </w:rPr>
        <w:t> </w:t>
      </w:r>
      <w:r>
        <w:rPr>
          <w:rFonts w:ascii="FangSong" w:hAnsi="FangSong" w:eastAsia="FangSong" w:cs="FangSong"/>
          <w:sz w:val="34"/>
          <w:szCs w:val="34"/>
          <w:spacing w:val="4"/>
        </w:rPr>
        <w:t>按30%增加支付额度.</w:t>
      </w:r>
    </w:p>
    <w:p>
      <w:pPr>
        <w:ind w:right="144" w:firstLine="640"/>
        <w:spacing w:before="1" w:line="328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7"/>
          <w:w w:val="99"/>
        </w:rPr>
        <w:t>参保人员因所患慢特病病情变化住院治疗的,不重复享受住</w:t>
      </w:r>
      <w:r>
        <w:rPr>
          <w:rFonts w:ascii="FangSong" w:hAnsi="FangSong" w:eastAsia="FangSong" w:cs="FangSong"/>
          <w:sz w:val="34"/>
          <w:szCs w:val="34"/>
          <w:spacing w:val="70"/>
        </w:rPr>
        <w:t> </w:t>
      </w:r>
      <w:r>
        <w:rPr>
          <w:rFonts w:ascii="FangSong" w:hAnsi="FangSong" w:eastAsia="FangSong" w:cs="FangSong"/>
          <w:sz w:val="34"/>
          <w:szCs w:val="34"/>
          <w:spacing w:val="-26"/>
        </w:rPr>
        <w:t>院和慢特病门诊待遇。</w:t>
      </w:r>
    </w:p>
    <w:p>
      <w:pPr>
        <w:ind w:firstLine="644"/>
        <w:spacing w:before="5" w:line="32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第十条</w:t>
      </w:r>
      <w:r>
        <w:rPr>
          <w:rFonts w:ascii="FangSong" w:hAnsi="FangSong" w:eastAsia="FangSong" w:cs="FangSong"/>
          <w:sz w:val="34"/>
          <w:szCs w:val="34"/>
          <w:spacing w:val="-6"/>
        </w:rPr>
        <w:t>参保居民单纯患高血压、糖尿病(以下简称"两病")</w:t>
      </w:r>
      <w:r>
        <w:rPr>
          <w:rFonts w:ascii="FangSong" w:hAnsi="FangSong" w:eastAsia="FangSong" w:cs="FangSong"/>
          <w:sz w:val="34"/>
          <w:szCs w:val="34"/>
          <w:spacing w:val="12"/>
        </w:rPr>
        <w:t> </w:t>
      </w:r>
      <w:r>
        <w:rPr>
          <w:rFonts w:ascii="FangSong" w:hAnsi="FangSong" w:eastAsia="FangSong" w:cs="FangSong"/>
          <w:sz w:val="34"/>
          <w:szCs w:val="34"/>
          <w:spacing w:val="-17"/>
          <w:w w:val="99"/>
        </w:rPr>
        <w:t>的,按照《关于完善城乡居民高血压糖尿病门诊用药保障和健康</w:t>
      </w:r>
      <w:r>
        <w:rPr>
          <w:rFonts w:ascii="FangSong" w:hAnsi="FangSong" w:eastAsia="FangSong" w:cs="FangSong"/>
          <w:sz w:val="34"/>
          <w:szCs w:val="34"/>
          <w:spacing w:val="69"/>
        </w:rPr>
        <w:t> </w:t>
      </w:r>
      <w:r>
        <w:rPr>
          <w:rFonts w:ascii="FangSong" w:hAnsi="FangSong" w:eastAsia="FangSong" w:cs="FangSong"/>
          <w:sz w:val="34"/>
          <w:szCs w:val="34"/>
          <w:spacing w:val="-14"/>
        </w:rPr>
        <w:t>管理有关工作的通知》(合医保发〔2021〕</w:t>
      </w:r>
      <w:r>
        <w:rPr>
          <w:rFonts w:ascii="FangSong" w:hAnsi="FangSong" w:eastAsia="FangSong" w:cs="FangSong"/>
          <w:sz w:val="34"/>
          <w:szCs w:val="34"/>
          <w:spacing w:val="47"/>
        </w:rPr>
        <w:t> </w:t>
      </w:r>
      <w:r>
        <w:rPr>
          <w:rFonts w:ascii="FangSong" w:hAnsi="FangSong" w:eastAsia="FangSong" w:cs="FangSong"/>
          <w:sz w:val="34"/>
          <w:szCs w:val="34"/>
          <w:spacing w:val="-14"/>
        </w:rPr>
        <w:t>1号)</w:t>
      </w:r>
      <w:r>
        <w:rPr>
          <w:rFonts w:ascii="FangSong" w:hAnsi="FangSong" w:eastAsia="FangSong" w:cs="FangSong"/>
          <w:sz w:val="34"/>
          <w:szCs w:val="34"/>
          <w:spacing w:val="54"/>
        </w:rPr>
        <w:t> </w:t>
      </w:r>
      <w:r>
        <w:rPr>
          <w:rFonts w:ascii="FangSong" w:hAnsi="FangSong" w:eastAsia="FangSong" w:cs="FangSong"/>
          <w:sz w:val="34"/>
          <w:szCs w:val="34"/>
          <w:spacing w:val="-14"/>
        </w:rPr>
        <w:t>规定执行.享</w:t>
      </w:r>
    </w:p>
    <w:p>
      <w:pPr>
        <w:ind w:left="170" w:right="124" w:hanging="170"/>
        <w:spacing w:line="32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2"/>
        </w:rPr>
        <w:t>受慢特病门诊待遇的居民,可以退出慢特病门诊管理,直接纳入</w:t>
      </w:r>
      <w:r>
        <w:rPr>
          <w:rFonts w:ascii="FangSong" w:hAnsi="FangSong" w:eastAsia="FangSong" w:cs="FangSong"/>
          <w:sz w:val="34"/>
          <w:szCs w:val="34"/>
          <w:spacing w:val="26"/>
        </w:rPr>
        <w:t> </w:t>
      </w:r>
      <w:r>
        <w:rPr>
          <w:rFonts w:ascii="FangSong" w:hAnsi="FangSong" w:eastAsia="FangSong" w:cs="FangSong"/>
          <w:sz w:val="34"/>
          <w:szCs w:val="34"/>
          <w:spacing w:val="-9"/>
        </w:rPr>
        <w:t>"两病"门诊用药保障。</w:t>
      </w:r>
    </w:p>
    <w:p>
      <w:pPr>
        <w:ind w:firstLine="644"/>
        <w:spacing w:before="2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</w:rPr>
        <w:t>第十一条</w:t>
      </w:r>
      <w:r>
        <w:rPr>
          <w:rFonts w:ascii="FangSong" w:hAnsi="FangSong" w:eastAsia="FangSong" w:cs="FangSong"/>
          <w:sz w:val="34"/>
          <w:szCs w:val="34"/>
        </w:rPr>
        <w:t>下列人员给予倾斜保障:</w:t>
      </w:r>
    </w:p>
    <w:p>
      <w:pPr>
        <w:ind w:right="140" w:firstLine="780"/>
        <w:spacing w:before="200" w:line="326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7"/>
          <w:w w:val="99"/>
        </w:rPr>
        <w:t>(一)</w:t>
      </w:r>
      <w:r>
        <w:rPr>
          <w:rFonts w:ascii="FangSong" w:hAnsi="FangSong" w:eastAsia="FangSong" w:cs="FangSong"/>
          <w:sz w:val="34"/>
          <w:szCs w:val="34"/>
          <w:spacing w:val="67"/>
        </w:rPr>
        <w:t> </w:t>
      </w:r>
      <w:r>
        <w:rPr>
          <w:rFonts w:ascii="FangSong" w:hAnsi="FangSong" w:eastAsia="FangSong" w:cs="FangSong"/>
          <w:sz w:val="34"/>
          <w:szCs w:val="34"/>
          <w:spacing w:val="-17"/>
          <w:w w:val="99"/>
        </w:rPr>
        <w:t>参保职工慢性肾衰竭(尿毒症期)</w:t>
      </w:r>
      <w:r>
        <w:rPr>
          <w:rFonts w:ascii="FangSong" w:hAnsi="FangSong" w:eastAsia="FangSong" w:cs="FangSong"/>
          <w:sz w:val="34"/>
          <w:szCs w:val="34"/>
          <w:spacing w:val="6"/>
        </w:rPr>
        <w:t> </w:t>
      </w:r>
      <w:r>
        <w:rPr>
          <w:rFonts w:ascii="FangSong" w:hAnsi="FangSong" w:eastAsia="FangSong" w:cs="FangSong"/>
          <w:sz w:val="34"/>
          <w:szCs w:val="34"/>
          <w:spacing w:val="-17"/>
          <w:w w:val="99"/>
        </w:rPr>
        <w:t>、肾移植抗排异治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17"/>
          <w:w w:val="99"/>
        </w:rPr>
        <w:t>疗病种不设门诊起付标准,使用相关医用材料和乙类药品不计算</w:t>
      </w:r>
      <w:r>
        <w:rPr>
          <w:rFonts w:ascii="FangSong" w:hAnsi="FangSong" w:eastAsia="FangSong" w:cs="FangSong"/>
          <w:sz w:val="34"/>
          <w:szCs w:val="34"/>
          <w:spacing w:val="74"/>
        </w:rPr>
        <w:t> </w:t>
      </w:r>
      <w:r>
        <w:rPr>
          <w:rFonts w:ascii="FangSong" w:hAnsi="FangSong" w:eastAsia="FangSong" w:cs="FangSong"/>
          <w:sz w:val="34"/>
          <w:szCs w:val="34"/>
          <w:spacing w:val="-24"/>
        </w:rPr>
        <w:t>个人先付费用。</w:t>
      </w:r>
    </w:p>
    <w:p>
      <w:pPr>
        <w:ind w:firstLine="780"/>
        <w:spacing w:before="2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  <w:w w:val="98"/>
        </w:rPr>
        <w:t>(二)</w:t>
      </w:r>
      <w:r>
        <w:rPr>
          <w:rFonts w:ascii="FangSong" w:hAnsi="FangSong" w:eastAsia="FangSong" w:cs="FangSong"/>
          <w:sz w:val="34"/>
          <w:szCs w:val="34"/>
          <w:spacing w:val="103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  <w:w w:val="98"/>
        </w:rPr>
        <w:t>精神障碍病种不设门诊起付标准.</w:t>
      </w:r>
    </w:p>
    <w:p>
      <w:pPr>
        <w:ind w:firstLine="644"/>
        <w:spacing w:before="203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第十二条</w:t>
      </w:r>
      <w:r>
        <w:rPr>
          <w:rFonts w:ascii="FangSong" w:hAnsi="FangSong" w:eastAsia="FangSong" w:cs="FangSong"/>
          <w:sz w:val="34"/>
          <w:szCs w:val="34"/>
          <w:spacing w:val="-4"/>
        </w:rPr>
        <w:t>慢特病门诊医疗费用经基本医保报销后,个人负</w:t>
      </w:r>
    </w:p>
    <w:p>
      <w:pPr>
        <w:sectPr>
          <w:footerReference w:type="default" r:id="rId5"/>
          <w:pgSz w:w="11660" w:h="16660"/>
          <w:pgMar w:top="1416" w:right="1314" w:bottom="1667" w:left="1349" w:header="0" w:footer="1406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right="66"/>
        <w:spacing w:before="110" w:line="33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  <w:w w:val="99"/>
        </w:rPr>
        <w:t>担的合规费用可累计计入大病保险范围,超过大病保险起付标准</w:t>
      </w:r>
      <w:r>
        <w:rPr>
          <w:rFonts w:ascii="FangSong" w:hAnsi="FangSong" w:eastAsia="FangSong" w:cs="FangSong"/>
          <w:sz w:val="34"/>
          <w:szCs w:val="34"/>
          <w:spacing w:val="1"/>
        </w:rPr>
        <w:t> </w:t>
      </w:r>
      <w:r>
        <w:rPr>
          <w:rFonts w:ascii="FangSong" w:hAnsi="FangSong" w:eastAsia="FangSong" w:cs="FangSong"/>
          <w:sz w:val="34"/>
          <w:szCs w:val="34"/>
          <w:spacing w:val="-14"/>
        </w:rPr>
        <w:t>的费用,由大病保险按规定予以保障.经基本医保、大病保险报</w:t>
      </w:r>
      <w:r>
        <w:rPr>
          <w:rFonts w:ascii="FangSong" w:hAnsi="FangSong" w:eastAsia="FangSong" w:cs="FangSong"/>
          <w:sz w:val="34"/>
          <w:szCs w:val="34"/>
          <w:spacing w:val="21"/>
        </w:rPr>
        <w:t> </w:t>
      </w:r>
      <w:r>
        <w:rPr>
          <w:rFonts w:ascii="FangSong" w:hAnsi="FangSong" w:eastAsia="FangSong" w:cs="FangSong"/>
          <w:sz w:val="34"/>
          <w:szCs w:val="34"/>
          <w:spacing w:val="-8"/>
        </w:rPr>
        <w:t>销后个人承担的部分,符合医疗救助条件的,按规定予以救助.</w:t>
      </w:r>
    </w:p>
    <w:p>
      <w:pPr>
        <w:spacing w:line="462" w:lineRule="auto"/>
        <w:rPr>
          <w:rFonts w:ascii="Arial"/>
          <w:sz w:val="21"/>
        </w:rPr>
      </w:pPr>
      <w:r/>
    </w:p>
    <w:p>
      <w:pPr>
        <w:ind w:firstLine="3264"/>
        <w:spacing w:before="111" w:line="221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第五章服务管理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ind w:right="27" w:firstLine="654"/>
        <w:spacing w:before="111" w:line="326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第十三条</w:t>
      </w:r>
      <w:r>
        <w:rPr>
          <w:rFonts w:ascii="FangSong" w:hAnsi="FangSong" w:eastAsia="FangSong" w:cs="FangSong"/>
          <w:sz w:val="34"/>
          <w:szCs w:val="34"/>
          <w:spacing w:val="-6"/>
        </w:rPr>
        <w:t>慢特病门诊实行定点管理,参保人员原则上选择</w:t>
      </w:r>
      <w:r>
        <w:rPr>
          <w:rFonts w:ascii="FangSong" w:hAnsi="FangSong" w:eastAsia="FangSong" w:cs="FangSong"/>
          <w:sz w:val="34"/>
          <w:szCs w:val="34"/>
          <w:spacing w:val="14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  <w:w w:val="99"/>
        </w:rPr>
        <w:t>1家医疗机构作为定点治疗医疗机构。部分确需使用谈判药治疗</w:t>
      </w:r>
      <w:r>
        <w:rPr>
          <w:rFonts w:ascii="FangSong" w:hAnsi="FangSong" w:eastAsia="FangSong" w:cs="FangSong"/>
          <w:sz w:val="34"/>
          <w:szCs w:val="34"/>
          <w:spacing w:val="5"/>
        </w:rPr>
        <w:t> </w:t>
      </w:r>
      <w:r>
        <w:rPr>
          <w:rFonts w:ascii="FangSong" w:hAnsi="FangSong" w:eastAsia="FangSong" w:cs="FangSong"/>
          <w:sz w:val="34"/>
          <w:szCs w:val="34"/>
          <w:spacing w:val="-8"/>
        </w:rPr>
        <w:t>的慢特病,按谈判药使用规定备案后,可以选择1家谈判药定点</w:t>
      </w:r>
      <w:r>
        <w:rPr>
          <w:rFonts w:ascii="FangSong" w:hAnsi="FangSong" w:eastAsia="FangSong" w:cs="FangSong"/>
          <w:sz w:val="34"/>
          <w:szCs w:val="34"/>
          <w:spacing w:val="25"/>
        </w:rPr>
        <w:t> </w:t>
      </w:r>
      <w:r>
        <w:rPr>
          <w:rFonts w:ascii="FangSong" w:hAnsi="FangSong" w:eastAsia="FangSong" w:cs="FangSong"/>
          <w:sz w:val="34"/>
          <w:szCs w:val="34"/>
          <w:spacing w:val="-13"/>
        </w:rPr>
        <w:t>药店作为定点服务机构,发生的购药费用,与在定点医疗机构的</w:t>
      </w:r>
      <w:r>
        <w:rPr>
          <w:rFonts w:ascii="FangSong" w:hAnsi="FangSong" w:eastAsia="FangSong" w:cs="FangSong"/>
          <w:sz w:val="34"/>
          <w:szCs w:val="34"/>
          <w:spacing w:val="6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  <w:w w:val="99"/>
        </w:rPr>
        <w:t>慢特病门诊费用合并计算,起付线、支付比例按定点医院住院医</w:t>
      </w:r>
      <w:r>
        <w:rPr>
          <w:rFonts w:ascii="FangSong" w:hAnsi="FangSong" w:eastAsia="FangSong" w:cs="FangSong"/>
          <w:sz w:val="34"/>
          <w:szCs w:val="34"/>
          <w:spacing w:val="14"/>
        </w:rPr>
        <w:t> </w:t>
      </w:r>
      <w:r>
        <w:rPr>
          <w:rFonts w:ascii="FangSong" w:hAnsi="FangSong" w:eastAsia="FangSong" w:cs="FangSong"/>
          <w:sz w:val="34"/>
          <w:szCs w:val="34"/>
          <w:spacing w:val="-1"/>
        </w:rPr>
        <w:t>保支付标准执行,年度支付限额不变.1个年度内,参保人员可</w:t>
      </w:r>
      <w:r>
        <w:rPr>
          <w:rFonts w:ascii="FangSong" w:hAnsi="FangSong" w:eastAsia="FangSong" w:cs="FangSong"/>
          <w:sz w:val="34"/>
          <w:szCs w:val="34"/>
          <w:spacing w:val="4"/>
        </w:rPr>
        <w:t> </w:t>
      </w:r>
      <w:r>
        <w:rPr>
          <w:rFonts w:ascii="FangSong" w:hAnsi="FangSong" w:eastAsia="FangSong" w:cs="FangSong"/>
          <w:sz w:val="34"/>
          <w:szCs w:val="34"/>
          <w:spacing w:val="-17"/>
        </w:rPr>
        <w:t>以变更1次慢特病门诊定点医疗机构。</w:t>
      </w:r>
    </w:p>
    <w:p>
      <w:pPr>
        <w:ind w:firstLine="654"/>
        <w:spacing w:line="619" w:lineRule="exac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  <w:position w:val="20"/>
        </w:rPr>
        <w:t>第十四条</w:t>
      </w:r>
      <w:r>
        <w:rPr>
          <w:rFonts w:ascii="FangSong" w:hAnsi="FangSong" w:eastAsia="FangSong" w:cs="FangSong"/>
          <w:sz w:val="34"/>
          <w:szCs w:val="34"/>
          <w:spacing w:val="-12"/>
          <w:position w:val="20"/>
        </w:rPr>
        <w:t>对高血压、糖尿病等病情稳定需要长期服用固定</w:t>
      </w:r>
    </w:p>
    <w:p>
      <w:pPr>
        <w:spacing w:line="219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1"/>
        </w:rPr>
        <w:t>药物的疾病,在遵循医嘱条件下,一次处方药量可延长至3个月.</w:t>
      </w:r>
    </w:p>
    <w:p>
      <w:pPr>
        <w:ind w:right="14" w:firstLine="654"/>
        <w:spacing w:before="183" w:line="329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第十五条</w:t>
      </w:r>
      <w:r>
        <w:rPr>
          <w:rFonts w:ascii="FangSong" w:hAnsi="FangSong" w:eastAsia="FangSong" w:cs="FangSong"/>
          <w:sz w:val="34"/>
          <w:szCs w:val="34"/>
          <w:spacing w:val="1"/>
        </w:rPr>
        <w:t>建立慢特病退出机制,根据疾病治疗情况,门诊</w:t>
      </w:r>
      <w:r>
        <w:rPr>
          <w:rFonts w:ascii="FangSong" w:hAnsi="FangSong" w:eastAsia="FangSong" w:cs="FangSong"/>
          <w:sz w:val="34"/>
          <w:szCs w:val="34"/>
          <w:spacing w:val="22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  <w:w w:val="99"/>
        </w:rPr>
        <w:t>慢特病待遇享受期满需继续门诊治疗的,应在门诊慢特病待遇享</w:t>
      </w:r>
      <w:r>
        <w:rPr>
          <w:rFonts w:ascii="FangSong" w:hAnsi="FangSong" w:eastAsia="FangSong" w:cs="FangSong"/>
          <w:sz w:val="34"/>
          <w:szCs w:val="34"/>
          <w:spacing w:val="11"/>
        </w:rPr>
        <w:t> </w:t>
      </w:r>
      <w:r>
        <w:rPr>
          <w:rFonts w:ascii="FangSong" w:hAnsi="FangSong" w:eastAsia="FangSong" w:cs="FangSong"/>
          <w:sz w:val="34"/>
          <w:szCs w:val="34"/>
          <w:spacing w:val="-14"/>
        </w:rPr>
        <w:t>受期</w:t>
      </w:r>
      <w:r>
        <w:rPr>
          <w:rFonts w:ascii="FangSong" w:hAnsi="FangSong" w:eastAsia="FangSong" w:cs="FangSong"/>
          <w:sz w:val="34"/>
          <w:szCs w:val="34"/>
          <w:spacing w:val="-42"/>
        </w:rPr>
        <w:t> </w:t>
      </w:r>
      <w:r>
        <w:rPr>
          <w:rFonts w:ascii="FangSong" w:hAnsi="FangSong" w:eastAsia="FangSong" w:cs="FangSong"/>
          <w:sz w:val="34"/>
          <w:szCs w:val="34"/>
          <w:spacing w:val="-14"/>
        </w:rPr>
        <w:t>(</w:t>
      </w:r>
      <w:r>
        <w:rPr>
          <w:rFonts w:ascii="FangSong" w:hAnsi="FangSong" w:eastAsia="FangSong" w:cs="FangSong"/>
          <w:sz w:val="34"/>
          <w:szCs w:val="34"/>
          <w:spacing w:val="-97"/>
        </w:rPr>
        <w:t> </w:t>
      </w:r>
      <w:r>
        <w:rPr>
          <w:rFonts w:ascii="FangSong" w:hAnsi="FangSong" w:eastAsia="FangSong" w:cs="FangSong"/>
          <w:sz w:val="34"/>
          <w:szCs w:val="34"/>
          <w:spacing w:val="-14"/>
        </w:rPr>
        <w:t>附件</w:t>
      </w:r>
      <w:r>
        <w:rPr>
          <w:rFonts w:ascii="FangSong" w:hAnsi="FangSong" w:eastAsia="FangSong" w:cs="FangSong"/>
          <w:sz w:val="34"/>
          <w:szCs w:val="34"/>
          <w:spacing w:val="-98"/>
        </w:rPr>
        <w:t> </w:t>
      </w:r>
      <w:r>
        <w:rPr>
          <w:rFonts w:ascii="FangSong" w:hAnsi="FangSong" w:eastAsia="FangSong" w:cs="FangSong"/>
          <w:sz w:val="34"/>
          <w:szCs w:val="34"/>
          <w:spacing w:val="-14"/>
        </w:rPr>
        <w:t>1)</w:t>
      </w:r>
      <w:r>
        <w:rPr>
          <w:rFonts w:ascii="FangSong" w:hAnsi="FangSong" w:eastAsia="FangSong" w:cs="FangSong"/>
          <w:sz w:val="34"/>
          <w:szCs w:val="34"/>
          <w:spacing w:val="-45"/>
        </w:rPr>
        <w:t> </w:t>
      </w:r>
      <w:r>
        <w:rPr>
          <w:rFonts w:ascii="FangSong" w:hAnsi="FangSong" w:eastAsia="FangSong" w:cs="FangSong"/>
          <w:sz w:val="34"/>
          <w:szCs w:val="34"/>
          <w:spacing w:val="-14"/>
        </w:rPr>
        <w:t>满前1个月内向参保地医保经办机构提出复审申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7"/>
        </w:rPr>
        <w:t>请,并提供近1年来连续治疗的病历和相关检查报告等材料.经</w:t>
      </w:r>
      <w:r>
        <w:rPr>
          <w:rFonts w:ascii="FangSong" w:hAnsi="FangSong" w:eastAsia="FangSong" w:cs="FangSong"/>
          <w:sz w:val="34"/>
          <w:szCs w:val="34"/>
          <w:spacing w:val="19"/>
        </w:rPr>
        <w:t> </w:t>
      </w:r>
      <w:r>
        <w:rPr>
          <w:rFonts w:ascii="FangSong" w:hAnsi="FangSong" w:eastAsia="FangSong" w:cs="FangSong"/>
          <w:sz w:val="34"/>
          <w:szCs w:val="34"/>
          <w:spacing w:val="-7"/>
        </w:rPr>
        <w:t>专家审核,无需继续门诊治疗的,停止享受慢特病门诊待遇.参</w:t>
      </w:r>
      <w:r>
        <w:rPr>
          <w:rFonts w:ascii="FangSong" w:hAnsi="FangSong" w:eastAsia="FangSong" w:cs="FangSong"/>
          <w:sz w:val="34"/>
          <w:szCs w:val="34"/>
          <w:spacing w:val="2"/>
        </w:rPr>
        <w:t> </w:t>
      </w:r>
      <w:r>
        <w:rPr>
          <w:rFonts w:ascii="FangSong" w:hAnsi="FangSong" w:eastAsia="FangSong" w:cs="FangSong"/>
          <w:sz w:val="34"/>
          <w:szCs w:val="34"/>
          <w:spacing w:val="-24"/>
        </w:rPr>
        <w:t>保人员一个年度内未进行慢特病门诊治疗、待遇享受期满未申请</w:t>
      </w:r>
    </w:p>
    <w:p>
      <w:pPr>
        <w:sectPr>
          <w:footerReference w:type="default" r:id="rId6"/>
          <w:pgSz w:w="11680" w:h="16680"/>
          <w:pgMar w:top="1417" w:right="1363" w:bottom="1671" w:left="1440" w:header="0" w:footer="1408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复审的,停止享受慢特病门诊待遇.</w:t>
      </w:r>
    </w:p>
    <w:p>
      <w:pPr>
        <w:ind w:right="140" w:firstLine="630"/>
        <w:spacing w:before="216" w:line="34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医保经办机构应按《认定标准》规定,对门诊慢特病待遇人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12"/>
        </w:rPr>
        <w:t>员组织开展复审,保证参保人员待遇公平.复审通过的,继续享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受慢特病门诊待遇。</w:t>
      </w:r>
    </w:p>
    <w:p>
      <w:pPr>
        <w:ind w:right="105" w:firstLine="634"/>
        <w:spacing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5"/>
        </w:rPr>
        <w:t>第十六条</w:t>
      </w:r>
      <w:r>
        <w:rPr>
          <w:rFonts w:ascii="FangSong" w:hAnsi="FangSong" w:eastAsia="FangSong" w:cs="FangSong"/>
          <w:sz w:val="32"/>
          <w:szCs w:val="32"/>
          <w:spacing w:val="15"/>
        </w:rPr>
        <w:t>参保人员在慢特病门诊待遇享受期内,因参保类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型或参保地发生变化,可申请办理慢特病待遇变更手续.变更后,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按新参保类型享受剩余月份的慢特病门诊待遇。</w:t>
      </w:r>
    </w:p>
    <w:p>
      <w:pPr>
        <w:ind w:firstLine="634"/>
        <w:spacing w:before="4" w:line="34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23"/>
        </w:rPr>
        <w:t>第十七条</w:t>
      </w:r>
      <w:r>
        <w:rPr>
          <w:rFonts w:ascii="FangSong" w:hAnsi="FangSong" w:eastAsia="FangSong" w:cs="FangSong"/>
          <w:sz w:val="32"/>
          <w:szCs w:val="32"/>
          <w:spacing w:val="23"/>
        </w:rPr>
        <w:t>医保经办机构应将门诊慢特病纳入定点医药机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构协议管理,完善医保信息系统,规范享受慢特病门诊待遇人员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的认定病种名称、临床(疾病)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诊断名称、治疗方式、申请次数、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待遇享受期等信息,简化慢特病申报材料,加强慢特病门诊费用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联网结算、智能审核、药品使用量监控、统计分析等工作。</w:t>
      </w:r>
    </w:p>
    <w:p>
      <w:pPr>
        <w:ind w:right="85" w:firstLine="634"/>
        <w:spacing w:before="1" w:line="35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第十八条</w:t>
      </w:r>
      <w:r>
        <w:rPr>
          <w:rFonts w:ascii="FangSong" w:hAnsi="FangSong" w:eastAsia="FangSong" w:cs="FangSong"/>
          <w:sz w:val="32"/>
          <w:szCs w:val="32"/>
          <w:spacing w:val="14"/>
        </w:rPr>
        <w:t>医药机构应完善内部管理制度,严格执行基本医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疗保险政策,认真履行医保服务协议,遵循用药规范和诊疗标准,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合理用药,因病施治,严禁超剂量、超诊疗范围开具处方等违规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23"/>
        </w:rPr>
        <w:t>行为。</w:t>
      </w:r>
    </w:p>
    <w:p>
      <w:pPr>
        <w:spacing w:line="456" w:lineRule="auto"/>
        <w:rPr>
          <w:rFonts w:ascii="Arial"/>
          <w:sz w:val="21"/>
        </w:rPr>
      </w:pPr>
      <w:r/>
    </w:p>
    <w:p>
      <w:pPr>
        <w:ind w:firstLine="3564"/>
        <w:spacing w:before="105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28"/>
        </w:rPr>
        <w:t>第六章附则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right="26" w:firstLine="634"/>
        <w:spacing w:before="105" w:line="35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第十九条</w:t>
      </w:r>
      <w:r>
        <w:rPr>
          <w:rFonts w:ascii="FangSong" w:hAnsi="FangSong" w:eastAsia="FangSong" w:cs="FangSong"/>
          <w:sz w:val="32"/>
          <w:szCs w:val="32"/>
          <w:spacing w:val="6"/>
        </w:rPr>
        <w:t>本办法自</w:t>
      </w:r>
      <w:r>
        <w:rPr>
          <w:rFonts w:ascii="FangSong" w:hAnsi="FangSong" w:eastAsia="FangSong" w:cs="FangSong"/>
          <w:sz w:val="32"/>
          <w:szCs w:val="32"/>
          <w:spacing w:val="-87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2022</w:t>
      </w:r>
      <w:r>
        <w:rPr>
          <w:rFonts w:ascii="FangSong" w:hAnsi="FangSong" w:eastAsia="FangSong" w:cs="FangSong"/>
          <w:sz w:val="32"/>
          <w:szCs w:val="32"/>
          <w:spacing w:val="-80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年</w:t>
      </w:r>
      <w:r>
        <w:rPr>
          <w:rFonts w:ascii="FangSong" w:hAnsi="FangSong" w:eastAsia="FangSong" w:cs="FangSong"/>
          <w:sz w:val="32"/>
          <w:szCs w:val="32"/>
          <w:spacing w:val="-73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1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月</w:t>
      </w:r>
      <w:r>
        <w:rPr>
          <w:rFonts w:ascii="FangSong" w:hAnsi="FangSong" w:eastAsia="FangSong" w:cs="FangSong"/>
          <w:sz w:val="32"/>
          <w:szCs w:val="32"/>
          <w:spacing w:val="-73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1</w:t>
      </w:r>
      <w:r>
        <w:rPr>
          <w:rFonts w:ascii="FangSong" w:hAnsi="FangSong" w:eastAsia="FangSong" w:cs="FangSong"/>
          <w:sz w:val="32"/>
          <w:szCs w:val="32"/>
          <w:spacing w:val="-19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日起施行</w:t>
      </w:r>
      <w:r>
        <w:rPr>
          <w:rFonts w:ascii="FangSong" w:hAnsi="FangSong" w:eastAsia="FangSong" w:cs="FangSong"/>
          <w:sz w:val="32"/>
          <w:szCs w:val="32"/>
          <w:spacing w:val="-62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,</w:t>
      </w:r>
      <w:r>
        <w:rPr>
          <w:rFonts w:ascii="FangSong" w:hAnsi="FangSong" w:eastAsia="FangSong" w:cs="FangSong"/>
          <w:sz w:val="32"/>
          <w:szCs w:val="32"/>
          <w:spacing w:val="-90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有效期</w:t>
      </w:r>
      <w:r>
        <w:rPr>
          <w:rFonts w:ascii="FangSong" w:hAnsi="FangSong" w:eastAsia="FangSong" w:cs="FangSong"/>
          <w:sz w:val="32"/>
          <w:szCs w:val="32"/>
          <w:spacing w:val="-90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3</w:t>
      </w:r>
      <w:r>
        <w:rPr>
          <w:rFonts w:ascii="FangSong" w:hAnsi="FangSong" w:eastAsia="FangSong" w:cs="FangSong"/>
          <w:sz w:val="32"/>
          <w:szCs w:val="32"/>
          <w:spacing w:val="-81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年</w:t>
      </w:r>
      <w:r>
        <w:rPr>
          <w:rFonts w:ascii="FangSong" w:hAnsi="FangSong" w:eastAsia="FangSong" w:cs="FangSong"/>
          <w:sz w:val="32"/>
          <w:szCs w:val="32"/>
          <w:spacing w:val="-86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.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原《合肥市慢性病门诊管理暂行办法》(合医保发〔2020〕</w:t>
      </w:r>
      <w:r>
        <w:rPr>
          <w:rFonts w:ascii="FangSong" w:hAnsi="FangSong" w:eastAsia="FangSong" w:cs="FangSong"/>
          <w:sz w:val="32"/>
          <w:szCs w:val="32"/>
          <w:spacing w:val="9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19</w:t>
      </w:r>
    </w:p>
    <w:p>
      <w:pPr>
        <w:sectPr>
          <w:footerReference w:type="default" r:id="rId7"/>
          <w:pgSz w:w="11620" w:h="16580"/>
          <w:pgMar w:top="1409" w:right="1310" w:bottom="1601" w:left="1340" w:header="0" w:footer="1337" w:gutter="0"/>
        </w:sectPr>
        <w:rPr/>
      </w:pP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before="104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号)</w:t>
      </w:r>
      <w:r>
        <w:rPr>
          <w:rFonts w:ascii="FangSong" w:hAnsi="FangSong" w:eastAsia="FangSong" w:cs="FangSong"/>
          <w:sz w:val="32"/>
          <w:szCs w:val="32"/>
          <w:spacing w:val="-1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同时废止.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ind w:firstLine="63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附件:</w:t>
      </w:r>
      <w:r>
        <w:rPr>
          <w:rFonts w:ascii="FangSong" w:hAnsi="FangSong" w:eastAsia="FangSong" w:cs="FangSong"/>
          <w:sz w:val="32"/>
          <w:szCs w:val="32"/>
          <w:spacing w:val="3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1.门诊慢特病支付限额及待遇期限</w:t>
      </w:r>
    </w:p>
    <w:p>
      <w:pPr>
        <w:ind w:left="1539" w:right="475"/>
        <w:spacing w:before="215" w:line="35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2.相关联病种范围</w:t>
      </w:r>
      <w:r>
        <w:rPr>
          <w:rFonts w:ascii="FangSong" w:hAnsi="FangSong" w:eastAsia="FangSong" w:cs="FangSong"/>
          <w:sz w:val="32"/>
          <w:szCs w:val="32"/>
        </w:rPr>
        <w:t>                        </w:t>
      </w:r>
      <w:r>
        <w:rPr>
          <w:rFonts w:ascii="FangSong" w:hAnsi="FangSong" w:eastAsia="FangSong" w:cs="FangSong"/>
          <w:sz w:val="32"/>
          <w:szCs w:val="32"/>
          <w:spacing w:val="2"/>
        </w:rPr>
        <w:t>3.合肥市基本医疗保险慢特病门诊待遇申请表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289"/>
        <w:spacing w:before="104" w:line="18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一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8</w:t>
      </w:r>
      <w:r>
        <w:rPr>
          <w:rFonts w:ascii="FangSong" w:hAnsi="FangSong" w:eastAsia="FangSong" w:cs="FangSong"/>
          <w:sz w:val="32"/>
          <w:szCs w:val="32"/>
          <w:spacing w:val="-28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一</w:t>
      </w:r>
    </w:p>
    <w:p>
      <w:pPr>
        <w:sectPr>
          <w:footerReference w:type="default" r:id="rId4"/>
          <w:pgSz w:w="11590" w:h="16560"/>
          <w:pgMar w:top="1407" w:right="1738" w:bottom="400" w:left="1389" w:header="0" w:footer="0" w:gutter="0"/>
        </w:sectPr>
        <w:rPr/>
      </w:pPr>
    </w:p>
    <w:p>
      <w:pPr>
        <w:spacing w:line="368" w:lineRule="auto"/>
        <w:rPr>
          <w:rFonts w:ascii="Arial"/>
          <w:sz w:val="21"/>
        </w:rPr>
      </w:pPr>
      <w:r/>
    </w:p>
    <w:p>
      <w:pPr>
        <w:ind w:firstLine="549"/>
        <w:spacing w:before="111" w:line="224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附件1</w:t>
      </w:r>
    </w:p>
    <w:p>
      <w:pPr>
        <w:ind w:firstLine="3981"/>
        <w:spacing w:before="121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门诊慢特病支付限额及待遇期限</w:t>
      </w:r>
    </w:p>
    <w:p>
      <w:pPr>
        <w:rPr/>
      </w:pPr>
      <w:r/>
    </w:p>
    <w:p>
      <w:pPr>
        <w:rPr/>
      </w:pPr>
      <w:r/>
    </w:p>
    <w:p>
      <w:pPr>
        <w:spacing w:line="18" w:lineRule="exact"/>
        <w:rPr/>
      </w:pPr>
      <w:r/>
    </w:p>
    <w:tbl>
      <w:tblPr>
        <w:tblStyle w:val="2"/>
        <w:tblW w:w="139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14"/>
        <w:gridCol w:w="3937"/>
        <w:gridCol w:w="1728"/>
        <w:gridCol w:w="1559"/>
        <w:gridCol w:w="1409"/>
        <w:gridCol w:w="4352"/>
      </w:tblGrid>
      <w:tr>
        <w:trPr>
          <w:trHeight w:val="609" w:hRule="atLeast"/>
        </w:trPr>
        <w:tc>
          <w:tcPr>
            <w:tcW w:w="10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firstLine="254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393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firstLine="1410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病种名称</w:t>
            </w:r>
          </w:p>
        </w:tc>
        <w:tc>
          <w:tcPr>
            <w:tcW w:w="328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3"/>
              <w:spacing w:before="18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基金年支付限额(元)</w:t>
            </w:r>
          </w:p>
        </w:tc>
        <w:tc>
          <w:tcPr>
            <w:tcW w:w="140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firstLine="21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享受期限</w:t>
            </w:r>
          </w:p>
        </w:tc>
        <w:tc>
          <w:tcPr>
            <w:tcW w:w="435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firstLine="1897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备注</w:t>
            </w:r>
          </w:p>
        </w:tc>
      </w:tr>
      <w:tr>
        <w:trPr>
          <w:trHeight w:val="564" w:hRule="atLeast"/>
        </w:trPr>
        <w:tc>
          <w:tcPr>
            <w:tcW w:w="10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156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职工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15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居民</w:t>
            </w:r>
          </w:p>
        </w:tc>
        <w:tc>
          <w:tcPr>
            <w:tcW w:w="140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434"/>
              <w:spacing w:before="23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3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57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高血压</w:t>
            </w:r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2400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6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128"/>
              <w:spacing w:before="19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不能同时享受</w:t>
            </w:r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36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高血压伴并发症</w:t>
            </w:r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6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4"/>
              <w:spacing w:before="6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3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26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冠心病</w:t>
            </w:r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6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6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26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4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4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3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3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心功能不全</w:t>
            </w:r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4200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长期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4"/>
              <w:spacing w:before="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3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28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慢性阻塞性肺疾病</w:t>
            </w:r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28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4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4"/>
              <w:spacing w:before="80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3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3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支气管哮喘</w:t>
            </w:r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3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2年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4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3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3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肺动脉高压</w:t>
            </w:r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53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12000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9600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4"/>
              <w:spacing w:before="8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7</w:t>
            </w:r>
          </w:p>
        </w:tc>
        <w:tc>
          <w:tcPr>
            <w:tcW w:w="3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3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特发性肺纤维化</w:t>
            </w:r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53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18000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75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15000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3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3年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4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  <w:tc>
          <w:tcPr>
            <w:tcW w:w="3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58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溃疡性结肠炎</w:t>
            </w:r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9000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7500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128"/>
              <w:spacing w:before="19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不能同时享受</w:t>
            </w:r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4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9</w:t>
            </w:r>
          </w:p>
        </w:tc>
        <w:tc>
          <w:tcPr>
            <w:tcW w:w="3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3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克罗恩病</w:t>
            </w:r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9000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7500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</w:t>
            </w:r>
          </w:p>
        </w:tc>
        <w:tc>
          <w:tcPr>
            <w:tcW w:w="3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3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肝硬化</w:t>
            </w:r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128"/>
              <w:spacing w:before="19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不能同时享受</w:t>
            </w:r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</w:t>
            </w:r>
          </w:p>
        </w:tc>
        <w:tc>
          <w:tcPr>
            <w:tcW w:w="3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3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晚期血吸虫病</w:t>
            </w:r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12</w:t>
            </w:r>
          </w:p>
        </w:tc>
        <w:tc>
          <w:tcPr>
            <w:tcW w:w="3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3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自身免疫性肝病</w:t>
            </w:r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53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12000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9600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</w:t>
            </w:r>
          </w:p>
        </w:tc>
        <w:tc>
          <w:tcPr>
            <w:tcW w:w="3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3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慢性肾脏病</w:t>
            </w:r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</w:t>
            </w:r>
          </w:p>
        </w:tc>
        <w:tc>
          <w:tcPr>
            <w:tcW w:w="3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3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肾病综合征</w:t>
            </w:r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3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2年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22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15</w:t>
            </w:r>
          </w:p>
        </w:tc>
        <w:tc>
          <w:tcPr>
            <w:tcW w:w="39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慢性肾衰竭(尿毒症期)</w:t>
            </w:r>
          </w:p>
        </w:tc>
        <w:tc>
          <w:tcPr>
            <w:tcW w:w="17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53"/>
              <w:spacing w:before="22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70000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75"/>
              <w:spacing w:before="22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60000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 w:right="382"/>
              <w:spacing w:before="4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透析治疗。与"慢性肾脏病"不能同时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</w:rPr>
              <w:t>享受,可实行区域内门诊单病种结算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6520" w:h="11590"/>
          <w:pgMar w:top="985" w:right="1415" w:bottom="1622" w:left="1095" w:header="0" w:footer="1356" w:gutter="0"/>
        </w:sectPr>
        <w:rPr/>
      </w:pPr>
    </w:p>
    <w:p>
      <w:pPr>
        <w:rPr/>
      </w:pPr>
      <w:r/>
    </w:p>
    <w:p>
      <w:pPr>
        <w:spacing w:line="108" w:lineRule="exact"/>
        <w:rPr/>
      </w:pPr>
      <w:r/>
    </w:p>
    <w:tbl>
      <w:tblPr>
        <w:tblStyle w:val="2"/>
        <w:tblW w:w="139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14"/>
        <w:gridCol w:w="3917"/>
        <w:gridCol w:w="1708"/>
        <w:gridCol w:w="1579"/>
        <w:gridCol w:w="1409"/>
        <w:gridCol w:w="4322"/>
      </w:tblGrid>
      <w:tr>
        <w:trPr>
          <w:trHeight w:val="629" w:hRule="atLeast"/>
        </w:trPr>
        <w:tc>
          <w:tcPr>
            <w:tcW w:w="10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firstLine="254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391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firstLine="1400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病种名称</w:t>
            </w:r>
          </w:p>
        </w:tc>
        <w:tc>
          <w:tcPr>
            <w:tcW w:w="328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3"/>
              <w:spacing w:before="19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基金年支付限额(元)</w:t>
            </w:r>
          </w:p>
        </w:tc>
        <w:tc>
          <w:tcPr>
            <w:tcW w:w="140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firstLine="21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享受期限</w:t>
            </w:r>
          </w:p>
        </w:tc>
        <w:tc>
          <w:tcPr>
            <w:tcW w:w="432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firstLine="1867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备注</w:t>
            </w:r>
          </w:p>
        </w:tc>
      </w:tr>
      <w:tr>
        <w:trPr>
          <w:trHeight w:val="575" w:hRule="atLeast"/>
        </w:trPr>
        <w:tc>
          <w:tcPr>
            <w:tcW w:w="10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1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03"/>
              <w:spacing w:before="166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职工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5"/>
              <w:spacing w:before="16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居民</w:t>
            </w:r>
          </w:p>
        </w:tc>
        <w:tc>
          <w:tcPr>
            <w:tcW w:w="140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2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4" w:hRule="atLeast"/>
        </w:trPr>
        <w:tc>
          <w:tcPr>
            <w:tcW w:w="10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374"/>
              <w:spacing w:before="23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16</w:t>
            </w:r>
          </w:p>
        </w:tc>
        <w:tc>
          <w:tcPr>
            <w:tcW w:w="39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25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糖尿病</w:t>
            </w:r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03"/>
              <w:spacing w:before="6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5"/>
              <w:spacing w:before="6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25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2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127"/>
              <w:spacing w:before="19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不能同时享受</w:t>
            </w:r>
          </w:p>
        </w:tc>
      </w:tr>
      <w:tr>
        <w:trPr>
          <w:trHeight w:val="325" w:hRule="atLeast"/>
        </w:trPr>
        <w:tc>
          <w:tcPr>
            <w:tcW w:w="10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糖尿病胰岛素治疗</w:t>
            </w:r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03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5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2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4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6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17</w:t>
            </w:r>
          </w:p>
        </w:tc>
        <w:tc>
          <w:tcPr>
            <w:tcW w:w="39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27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甲状腺功能亢进</w:t>
            </w:r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03"/>
              <w:spacing w:before="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2400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5"/>
              <w:spacing w:before="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27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2年</w:t>
            </w:r>
          </w:p>
        </w:tc>
        <w:tc>
          <w:tcPr>
            <w:tcW w:w="432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127"/>
              <w:spacing w:before="19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不能同时享受</w:t>
            </w:r>
          </w:p>
        </w:tc>
      </w:tr>
      <w:tr>
        <w:trPr>
          <w:trHeight w:val="32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18</w:t>
            </w:r>
          </w:p>
        </w:tc>
        <w:tc>
          <w:tcPr>
            <w:tcW w:w="39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3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甲状腺功能减退</w:t>
            </w:r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03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2400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2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4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6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19</w:t>
            </w:r>
          </w:p>
        </w:tc>
        <w:tc>
          <w:tcPr>
            <w:tcW w:w="39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28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肢端肥大症</w:t>
            </w:r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3"/>
              <w:spacing w:before="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36000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5"/>
              <w:spacing w:before="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30000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28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2年</w:t>
            </w:r>
          </w:p>
        </w:tc>
        <w:tc>
          <w:tcPr>
            <w:tcW w:w="4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</w:t>
            </w:r>
          </w:p>
        </w:tc>
        <w:tc>
          <w:tcPr>
            <w:tcW w:w="39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3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脑卒中</w:t>
            </w:r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03"/>
              <w:spacing w:before="7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5"/>
              <w:spacing w:before="7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4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6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21</w:t>
            </w:r>
          </w:p>
        </w:tc>
        <w:tc>
          <w:tcPr>
            <w:tcW w:w="39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29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癫痫</w:t>
            </w:r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03"/>
              <w:spacing w:before="70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4800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5"/>
              <w:spacing w:before="70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29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8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22</w:t>
            </w:r>
          </w:p>
        </w:tc>
        <w:tc>
          <w:tcPr>
            <w:tcW w:w="39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4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帕金森综合症</w:t>
            </w:r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03"/>
              <w:spacing w:before="8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4800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5"/>
              <w:spacing w:before="8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4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4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0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23</w:t>
            </w:r>
          </w:p>
        </w:tc>
        <w:tc>
          <w:tcPr>
            <w:tcW w:w="39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29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阿尔茨海默病(老年痴呆)</w:t>
            </w:r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03"/>
              <w:spacing w:before="70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6000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5"/>
              <w:spacing w:before="70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4800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29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长期</w:t>
            </w:r>
          </w:p>
        </w:tc>
        <w:tc>
          <w:tcPr>
            <w:tcW w:w="4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8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24</w:t>
            </w:r>
          </w:p>
        </w:tc>
        <w:tc>
          <w:tcPr>
            <w:tcW w:w="39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4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肝豆状核变性</w:t>
            </w:r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3"/>
              <w:spacing w:before="8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24000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5"/>
              <w:spacing w:before="8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4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3年</w:t>
            </w:r>
          </w:p>
        </w:tc>
        <w:tc>
          <w:tcPr>
            <w:tcW w:w="4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1" w:line="17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25</w:t>
            </w:r>
          </w:p>
        </w:tc>
        <w:tc>
          <w:tcPr>
            <w:tcW w:w="39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31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重症肌无力</w:t>
            </w:r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03"/>
              <w:spacing w:before="71" w:line="17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4800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5"/>
              <w:spacing w:before="71" w:line="17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1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长期</w:t>
            </w:r>
          </w:p>
        </w:tc>
        <w:tc>
          <w:tcPr>
            <w:tcW w:w="4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8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26</w:t>
            </w:r>
          </w:p>
        </w:tc>
        <w:tc>
          <w:tcPr>
            <w:tcW w:w="39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4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肌萎缩侧索硬化症</w:t>
            </w:r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3"/>
              <w:spacing w:before="8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18000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5"/>
              <w:spacing w:before="8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15000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4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长期</w:t>
            </w:r>
          </w:p>
        </w:tc>
        <w:tc>
          <w:tcPr>
            <w:tcW w:w="4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27</w:t>
            </w:r>
          </w:p>
        </w:tc>
        <w:tc>
          <w:tcPr>
            <w:tcW w:w="39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3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多发性硬化</w:t>
            </w:r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3"/>
              <w:spacing w:before="7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18000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5"/>
              <w:spacing w:before="7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15000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3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2年</w:t>
            </w:r>
          </w:p>
        </w:tc>
        <w:tc>
          <w:tcPr>
            <w:tcW w:w="4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8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28</w:t>
            </w:r>
          </w:p>
        </w:tc>
        <w:tc>
          <w:tcPr>
            <w:tcW w:w="39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4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青光眼</w:t>
            </w:r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03"/>
              <w:spacing w:before="8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5"/>
              <w:spacing w:before="8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4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3年</w:t>
            </w:r>
          </w:p>
        </w:tc>
        <w:tc>
          <w:tcPr>
            <w:tcW w:w="4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29</w:t>
            </w:r>
          </w:p>
        </w:tc>
        <w:tc>
          <w:tcPr>
            <w:tcW w:w="39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3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黄斑性眼病</w:t>
            </w:r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3"/>
              <w:spacing w:before="7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18000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5"/>
              <w:spacing w:before="7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15000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3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3年</w:t>
            </w:r>
          </w:p>
        </w:tc>
        <w:tc>
          <w:tcPr>
            <w:tcW w:w="4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7"/>
              <w:spacing w:before="3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相关药品按国家限定支付剂量执行</w:t>
            </w:r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374"/>
              <w:spacing w:before="24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30</w:t>
            </w:r>
          </w:p>
        </w:tc>
        <w:tc>
          <w:tcPr>
            <w:tcW w:w="39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4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银屑病</w:t>
            </w:r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03"/>
              <w:spacing w:before="8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5"/>
              <w:spacing w:before="8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4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2年</w:t>
            </w:r>
          </w:p>
        </w:tc>
        <w:tc>
          <w:tcPr>
            <w:tcW w:w="432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127"/>
              <w:spacing w:before="20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不能同时享受</w:t>
            </w:r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4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银屑病(生物制剂治疗)</w:t>
            </w:r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3"/>
              <w:spacing w:before="8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20000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5"/>
              <w:spacing w:before="8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18000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4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2年</w:t>
            </w:r>
          </w:p>
        </w:tc>
        <w:tc>
          <w:tcPr>
            <w:tcW w:w="432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31</w:t>
            </w:r>
          </w:p>
        </w:tc>
        <w:tc>
          <w:tcPr>
            <w:tcW w:w="39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3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白癜风</w:t>
            </w:r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03"/>
              <w:spacing w:before="7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5"/>
              <w:spacing w:before="7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3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2年</w:t>
            </w:r>
          </w:p>
        </w:tc>
        <w:tc>
          <w:tcPr>
            <w:tcW w:w="4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8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32</w:t>
            </w:r>
          </w:p>
        </w:tc>
        <w:tc>
          <w:tcPr>
            <w:tcW w:w="39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4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重度特应性皮炎</w:t>
            </w:r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3"/>
              <w:spacing w:before="8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20000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5"/>
              <w:spacing w:before="8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18000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4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2年</w:t>
            </w:r>
          </w:p>
        </w:tc>
        <w:tc>
          <w:tcPr>
            <w:tcW w:w="4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33</w:t>
            </w:r>
          </w:p>
        </w:tc>
        <w:tc>
          <w:tcPr>
            <w:tcW w:w="39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3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精神障碍</w:t>
            </w:r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03"/>
              <w:spacing w:before="7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5"/>
              <w:spacing w:before="7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8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34</w:t>
            </w:r>
          </w:p>
        </w:tc>
        <w:tc>
          <w:tcPr>
            <w:tcW w:w="39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4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慢性乙型肝炎</w:t>
            </w:r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03"/>
              <w:spacing w:before="8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4000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5"/>
              <w:spacing w:before="8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3200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4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2年</w:t>
            </w:r>
          </w:p>
        </w:tc>
        <w:tc>
          <w:tcPr>
            <w:tcW w:w="4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374"/>
              <w:spacing w:before="24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35</w:t>
            </w:r>
          </w:p>
        </w:tc>
        <w:tc>
          <w:tcPr>
            <w:tcW w:w="39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4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慢性丙型肝炎(1b型)</w:t>
            </w:r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03"/>
              <w:spacing w:before="8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5100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5"/>
              <w:spacing w:before="8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4200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4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2"/>
                <w:w w:val="102"/>
              </w:rPr>
              <w:t>3个月</w:t>
            </w:r>
          </w:p>
        </w:tc>
        <w:tc>
          <w:tcPr>
            <w:tcW w:w="432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127"/>
              <w:spacing w:before="20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不能同时享受</w:t>
            </w:r>
          </w:p>
        </w:tc>
      </w:tr>
      <w:tr>
        <w:trPr>
          <w:trHeight w:val="320" w:hRule="atLeast"/>
        </w:trPr>
        <w:tc>
          <w:tcPr>
            <w:tcW w:w="10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41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慢性丙型肝炎(非1b型)</w:t>
            </w:r>
          </w:p>
        </w:tc>
        <w:tc>
          <w:tcPr>
            <w:tcW w:w="1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3"/>
              <w:spacing w:before="8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10500</w:t>
            </w:r>
          </w:p>
        </w:tc>
        <w:tc>
          <w:tcPr>
            <w:tcW w:w="1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5"/>
              <w:spacing w:before="8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9000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2"/>
                <w:w w:val="102"/>
              </w:rPr>
              <w:t>3个月</w:t>
            </w:r>
          </w:p>
        </w:tc>
        <w:tc>
          <w:tcPr>
            <w:tcW w:w="432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834"/>
        <w:spacing w:before="136" w:line="183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3"/>
        </w:rPr>
        <w:t>-</w:t>
      </w:r>
      <w:r>
        <w:rPr>
          <w:rFonts w:ascii="SimSun" w:hAnsi="SimSun" w:eastAsia="SimSun" w:cs="SimSun"/>
          <w:sz w:val="36"/>
          <w:szCs w:val="36"/>
          <w:spacing w:val="52"/>
        </w:rPr>
        <w:t> </w:t>
      </w:r>
      <w:r>
        <w:rPr>
          <w:rFonts w:ascii="SimSun" w:hAnsi="SimSun" w:eastAsia="SimSun" w:cs="SimSun"/>
          <w:sz w:val="36"/>
          <w:szCs w:val="36"/>
          <w:spacing w:val="-13"/>
        </w:rPr>
        <w:t>10</w:t>
      </w:r>
      <w:r>
        <w:rPr>
          <w:rFonts w:ascii="SimSun" w:hAnsi="SimSun" w:eastAsia="SimSun" w:cs="SimSun"/>
          <w:sz w:val="36"/>
          <w:szCs w:val="36"/>
          <w:spacing w:val="23"/>
        </w:rPr>
        <w:t> </w:t>
      </w:r>
      <w:r>
        <w:rPr>
          <w:rFonts w:ascii="SimSun" w:hAnsi="SimSun" w:eastAsia="SimSun" w:cs="SimSun"/>
          <w:sz w:val="36"/>
          <w:szCs w:val="36"/>
          <w:spacing w:val="-13"/>
        </w:rPr>
        <w:t>-</w:t>
      </w:r>
    </w:p>
    <w:p>
      <w:pPr>
        <w:sectPr>
          <w:footerReference w:type="default" r:id="rId4"/>
          <w:pgSz w:w="16520" w:h="11590"/>
          <w:pgMar w:top="985" w:right="1484" w:bottom="400" w:left="1075" w:header="0" w:footer="0" w:gutter="0"/>
        </w:sectPr>
        <w:rPr/>
      </w:pPr>
    </w:p>
    <w:p>
      <w:pPr>
        <w:rPr/>
      </w:pPr>
      <w:r/>
    </w:p>
    <w:p>
      <w:pPr>
        <w:spacing w:line="66" w:lineRule="exact"/>
        <w:rPr/>
      </w:pPr>
      <w:r/>
    </w:p>
    <w:tbl>
      <w:tblPr>
        <w:tblStyle w:val="2"/>
        <w:tblW w:w="139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14"/>
        <w:gridCol w:w="3927"/>
        <w:gridCol w:w="1718"/>
        <w:gridCol w:w="1559"/>
        <w:gridCol w:w="1409"/>
        <w:gridCol w:w="4352"/>
      </w:tblGrid>
      <w:tr>
        <w:trPr>
          <w:trHeight w:val="629" w:hRule="atLeast"/>
        </w:trPr>
        <w:tc>
          <w:tcPr>
            <w:tcW w:w="10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firstLine="254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392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firstLine="1380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病种名称</w:t>
            </w:r>
          </w:p>
        </w:tc>
        <w:tc>
          <w:tcPr>
            <w:tcW w:w="327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3"/>
              <w:spacing w:before="19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基金年支付限额(元)</w:t>
            </w:r>
          </w:p>
        </w:tc>
        <w:tc>
          <w:tcPr>
            <w:tcW w:w="140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firstLine="21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享受期限</w:t>
            </w:r>
          </w:p>
        </w:tc>
        <w:tc>
          <w:tcPr>
            <w:tcW w:w="435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firstLine="1887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备注</w:t>
            </w:r>
          </w:p>
        </w:tc>
      </w:tr>
      <w:tr>
        <w:trPr>
          <w:trHeight w:val="564" w:hRule="atLeast"/>
        </w:trPr>
        <w:tc>
          <w:tcPr>
            <w:tcW w:w="10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156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职工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15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居民</w:t>
            </w:r>
          </w:p>
        </w:tc>
        <w:tc>
          <w:tcPr>
            <w:tcW w:w="140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374"/>
              <w:spacing w:before="23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36</w:t>
            </w:r>
          </w:p>
        </w:tc>
        <w:tc>
          <w:tcPr>
            <w:tcW w:w="39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47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结核病</w:t>
            </w:r>
          </w:p>
        </w:tc>
        <w:tc>
          <w:tcPr>
            <w:tcW w:w="1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66" w:line="19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2年</w:t>
            </w:r>
          </w:p>
        </w:tc>
        <w:tc>
          <w:tcPr>
            <w:tcW w:w="435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127"/>
              <w:spacing w:before="19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不能同时享受</w:t>
            </w:r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57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耐药性结核病</w:t>
            </w:r>
          </w:p>
        </w:tc>
        <w:tc>
          <w:tcPr>
            <w:tcW w:w="1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53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60000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75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50000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36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3年</w:t>
            </w:r>
          </w:p>
        </w:tc>
        <w:tc>
          <w:tcPr>
            <w:tcW w:w="435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37</w:t>
            </w:r>
          </w:p>
        </w:tc>
        <w:tc>
          <w:tcPr>
            <w:tcW w:w="39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36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艾滋病</w:t>
            </w:r>
          </w:p>
        </w:tc>
        <w:tc>
          <w:tcPr>
            <w:tcW w:w="1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4800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6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38</w:t>
            </w:r>
          </w:p>
        </w:tc>
        <w:tc>
          <w:tcPr>
            <w:tcW w:w="39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36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类风湿性关节炎</w:t>
            </w:r>
          </w:p>
        </w:tc>
        <w:tc>
          <w:tcPr>
            <w:tcW w:w="1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53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18000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75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15000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6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39</w:t>
            </w:r>
          </w:p>
        </w:tc>
        <w:tc>
          <w:tcPr>
            <w:tcW w:w="39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36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强直性脊柱炎</w:t>
            </w:r>
          </w:p>
        </w:tc>
        <w:tc>
          <w:tcPr>
            <w:tcW w:w="1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53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18000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75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15000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6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40</w:t>
            </w:r>
          </w:p>
        </w:tc>
        <w:tc>
          <w:tcPr>
            <w:tcW w:w="39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36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系统性红斑狼疮</w:t>
            </w:r>
          </w:p>
        </w:tc>
        <w:tc>
          <w:tcPr>
            <w:tcW w:w="1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53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18000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75"/>
              <w:spacing w:before="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15000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6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41</w:t>
            </w:r>
          </w:p>
        </w:tc>
        <w:tc>
          <w:tcPr>
            <w:tcW w:w="39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37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白塞氏病</w:t>
            </w:r>
          </w:p>
        </w:tc>
        <w:tc>
          <w:tcPr>
            <w:tcW w:w="1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7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7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7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42</w:t>
            </w:r>
          </w:p>
        </w:tc>
        <w:tc>
          <w:tcPr>
            <w:tcW w:w="39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58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系统性硬化病</w:t>
            </w:r>
          </w:p>
        </w:tc>
        <w:tc>
          <w:tcPr>
            <w:tcW w:w="1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8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43</w:t>
            </w:r>
          </w:p>
        </w:tc>
        <w:tc>
          <w:tcPr>
            <w:tcW w:w="39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57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干燥综合征</w:t>
            </w:r>
          </w:p>
        </w:tc>
        <w:tc>
          <w:tcPr>
            <w:tcW w:w="1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4300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8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44</w:t>
            </w:r>
          </w:p>
        </w:tc>
        <w:tc>
          <w:tcPr>
            <w:tcW w:w="39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3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多发性肌炎</w:t>
            </w:r>
          </w:p>
        </w:tc>
        <w:tc>
          <w:tcPr>
            <w:tcW w:w="1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4300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127"/>
              <w:spacing w:before="19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不能同时享受</w:t>
            </w:r>
          </w:p>
        </w:tc>
      </w:tr>
      <w:tr>
        <w:trPr>
          <w:trHeight w:val="30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45</w:t>
            </w:r>
          </w:p>
        </w:tc>
        <w:tc>
          <w:tcPr>
            <w:tcW w:w="39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28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皮肌炎</w:t>
            </w:r>
          </w:p>
        </w:tc>
        <w:tc>
          <w:tcPr>
            <w:tcW w:w="1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4300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6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28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46</w:t>
            </w:r>
          </w:p>
        </w:tc>
        <w:tc>
          <w:tcPr>
            <w:tcW w:w="39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38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结节性多动脉炎</w:t>
            </w:r>
          </w:p>
        </w:tc>
        <w:tc>
          <w:tcPr>
            <w:tcW w:w="1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4300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8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47</w:t>
            </w:r>
          </w:p>
        </w:tc>
        <w:tc>
          <w:tcPr>
            <w:tcW w:w="39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38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ANCA相关血管炎</w:t>
            </w:r>
          </w:p>
        </w:tc>
        <w:tc>
          <w:tcPr>
            <w:tcW w:w="1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7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4300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7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3600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8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48</w:t>
            </w:r>
          </w:p>
        </w:tc>
        <w:tc>
          <w:tcPr>
            <w:tcW w:w="39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3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先天性免疫蛋白缺乏症</w:t>
            </w:r>
          </w:p>
        </w:tc>
        <w:tc>
          <w:tcPr>
            <w:tcW w:w="1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53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24000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75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3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49</w:t>
            </w:r>
          </w:p>
        </w:tc>
        <w:tc>
          <w:tcPr>
            <w:tcW w:w="39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3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生长激素缺乏症</w:t>
            </w:r>
          </w:p>
        </w:tc>
        <w:tc>
          <w:tcPr>
            <w:tcW w:w="1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75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3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2年</w:t>
            </w:r>
          </w:p>
        </w:tc>
        <w:tc>
          <w:tcPr>
            <w:tcW w:w="435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127"/>
              <w:spacing w:before="19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不能同时享受</w:t>
            </w:r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50</w:t>
            </w:r>
          </w:p>
        </w:tc>
        <w:tc>
          <w:tcPr>
            <w:tcW w:w="39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3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普拉德-威利综合征</w:t>
            </w:r>
          </w:p>
        </w:tc>
        <w:tc>
          <w:tcPr>
            <w:tcW w:w="1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75"/>
              <w:spacing w:before="79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3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2年</w:t>
            </w:r>
          </w:p>
        </w:tc>
        <w:tc>
          <w:tcPr>
            <w:tcW w:w="435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78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51</w:t>
            </w:r>
          </w:p>
        </w:tc>
        <w:tc>
          <w:tcPr>
            <w:tcW w:w="39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39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脑瘫</w:t>
            </w:r>
          </w:p>
        </w:tc>
        <w:tc>
          <w:tcPr>
            <w:tcW w:w="1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75"/>
              <w:spacing w:before="79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39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2年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8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52</w:t>
            </w:r>
          </w:p>
        </w:tc>
        <w:tc>
          <w:tcPr>
            <w:tcW w:w="39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60" w:line="19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尼曼匹克病</w:t>
            </w:r>
          </w:p>
        </w:tc>
        <w:tc>
          <w:tcPr>
            <w:tcW w:w="1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53"/>
              <w:spacing w:before="8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24000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75"/>
              <w:spacing w:before="8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4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2年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8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53</w:t>
            </w:r>
          </w:p>
        </w:tc>
        <w:tc>
          <w:tcPr>
            <w:tcW w:w="39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4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心脏瓣膜置换术后</w:t>
            </w:r>
          </w:p>
        </w:tc>
        <w:tc>
          <w:tcPr>
            <w:tcW w:w="1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8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5000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8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4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长期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8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54</w:t>
            </w:r>
          </w:p>
        </w:tc>
        <w:tc>
          <w:tcPr>
            <w:tcW w:w="39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4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血管支架植入术后</w:t>
            </w:r>
          </w:p>
        </w:tc>
        <w:tc>
          <w:tcPr>
            <w:tcW w:w="1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8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5000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8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4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1年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23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55</w:t>
            </w:r>
          </w:p>
        </w:tc>
        <w:tc>
          <w:tcPr>
            <w:tcW w:w="39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19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心脏冠脉搭桥术后</w:t>
            </w:r>
          </w:p>
        </w:tc>
        <w:tc>
          <w:tcPr>
            <w:tcW w:w="1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3"/>
              <w:spacing w:before="23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5000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23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4000</w:t>
            </w:r>
          </w:p>
        </w:tc>
        <w:tc>
          <w:tcPr>
            <w:tcW w:w="14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19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1年</w:t>
            </w:r>
          </w:p>
        </w:tc>
        <w:tc>
          <w:tcPr>
            <w:tcW w:w="43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 w:right="528"/>
              <w:spacing w:before="40" w:line="23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与"冠心病"不重复享受,待遇享受期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到期后转为</w:t>
            </w:r>
            <w:r>
              <w:rPr>
                <w:rFonts w:ascii="SimSun" w:hAnsi="SimSun" w:eastAsia="SimSun" w:cs="SimSun"/>
                <w:sz w:val="23"/>
                <w:szCs w:val="23"/>
                <w:spacing w:val="24"/>
              </w:rPr>
              <w:t>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"冠心病"待遇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6530" w:h="11610"/>
          <w:pgMar w:top="986" w:right="1425" w:bottom="1589" w:left="1115" w:header="0" w:footer="1339" w:gutter="0"/>
        </w:sectPr>
        <w:rPr/>
      </w:pPr>
    </w:p>
    <w:p>
      <w:pPr>
        <w:rPr/>
      </w:pPr>
      <w:r/>
    </w:p>
    <w:p>
      <w:pPr>
        <w:spacing w:line="106" w:lineRule="exact"/>
        <w:rPr/>
      </w:pPr>
      <w:r/>
    </w:p>
    <w:tbl>
      <w:tblPr>
        <w:tblStyle w:val="2"/>
        <w:tblW w:w="139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14"/>
        <w:gridCol w:w="1197"/>
        <w:gridCol w:w="2689"/>
        <w:gridCol w:w="1719"/>
        <w:gridCol w:w="1569"/>
        <w:gridCol w:w="1399"/>
        <w:gridCol w:w="4342"/>
      </w:tblGrid>
      <w:tr>
        <w:trPr>
          <w:trHeight w:val="599" w:hRule="atLeast"/>
        </w:trPr>
        <w:tc>
          <w:tcPr>
            <w:tcW w:w="10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firstLine="264"/>
              <w:spacing w:before="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3886" w:type="dxa"/>
            <w:vAlign w:val="top"/>
            <w:gridSpan w:val="2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ind w:firstLine="1371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病种名称</w:t>
            </w:r>
          </w:p>
        </w:tc>
        <w:tc>
          <w:tcPr>
            <w:tcW w:w="32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5"/>
              <w:spacing w:before="18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基金年支付限额(元)</w:t>
            </w:r>
          </w:p>
        </w:tc>
        <w:tc>
          <w:tcPr>
            <w:tcW w:w="139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ind w:firstLine="236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享受期限</w:t>
            </w:r>
          </w:p>
        </w:tc>
        <w:tc>
          <w:tcPr>
            <w:tcW w:w="434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firstLine="1888"/>
              <w:spacing w:before="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备注</w:t>
            </w:r>
          </w:p>
        </w:tc>
      </w:tr>
      <w:tr>
        <w:trPr>
          <w:trHeight w:val="574" w:hRule="atLeast"/>
        </w:trPr>
        <w:tc>
          <w:tcPr>
            <w:tcW w:w="10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86" w:type="dxa"/>
            <w:vAlign w:val="top"/>
            <w:gridSpan w:val="2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24"/>
              <w:spacing w:before="166" w:line="22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职工</w:t>
            </w:r>
          </w:p>
        </w:tc>
        <w:tc>
          <w:tcPr>
            <w:tcW w:w="15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6"/>
              <w:spacing w:before="16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居民</w:t>
            </w:r>
          </w:p>
        </w:tc>
        <w:tc>
          <w:tcPr>
            <w:tcW w:w="139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firstLine="384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56</w:t>
            </w:r>
          </w:p>
        </w:tc>
        <w:tc>
          <w:tcPr>
            <w:tcW w:w="119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21" w:right="174" w:hanging="20"/>
              <w:spacing w:before="75" w:line="27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器官移植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术后</w:t>
            </w:r>
          </w:p>
        </w:tc>
        <w:tc>
          <w:tcPr>
            <w:tcW w:w="2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3"/>
              <w:spacing w:before="5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肝移植抗排异治疗</w:t>
            </w:r>
          </w:p>
        </w:tc>
        <w:tc>
          <w:tcPr>
            <w:tcW w:w="171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275"/>
              <w:spacing w:before="2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术后第一年</w:t>
            </w:r>
          </w:p>
          <w:p>
            <w:pPr>
              <w:ind w:firstLine="564"/>
              <w:spacing w:before="54" w:line="17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60000</w:t>
            </w:r>
          </w:p>
          <w:p>
            <w:pPr>
              <w:ind w:firstLine="165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第二年及以后</w:t>
            </w:r>
          </w:p>
          <w:p>
            <w:pPr>
              <w:ind w:firstLine="564"/>
              <w:spacing w:before="65" w:line="188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2"/>
              </w:rPr>
              <w:t>30000</w:t>
            </w:r>
          </w:p>
        </w:tc>
        <w:tc>
          <w:tcPr>
            <w:tcW w:w="156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206"/>
              <w:spacing w:before="3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术后第一年</w:t>
            </w:r>
          </w:p>
          <w:p>
            <w:pPr>
              <w:ind w:firstLine="486"/>
              <w:spacing w:before="54" w:line="17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50000</w:t>
            </w:r>
          </w:p>
          <w:p>
            <w:pPr>
              <w:ind w:firstLine="86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第二年及以后</w:t>
            </w:r>
          </w:p>
          <w:p>
            <w:pPr>
              <w:ind w:firstLine="486"/>
              <w:spacing w:before="45" w:line="15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25000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67"/>
              <w:spacing w:before="5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长期</w:t>
            </w:r>
          </w:p>
        </w:tc>
        <w:tc>
          <w:tcPr>
            <w:tcW w:w="43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4" w:hRule="atLeast"/>
        </w:trPr>
        <w:tc>
          <w:tcPr>
            <w:tcW w:w="101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" w:right="260"/>
              <w:spacing w:before="106" w:line="25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造血干细胞移植抗排异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治疗</w:t>
            </w:r>
          </w:p>
        </w:tc>
        <w:tc>
          <w:tcPr>
            <w:tcW w:w="171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67"/>
              <w:spacing w:before="25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长期</w:t>
            </w:r>
          </w:p>
        </w:tc>
        <w:tc>
          <w:tcPr>
            <w:tcW w:w="43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101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3"/>
              <w:spacing w:before="4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肾移植抗排异治疗</w:t>
            </w:r>
          </w:p>
        </w:tc>
        <w:tc>
          <w:tcPr>
            <w:tcW w:w="1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64"/>
              <w:spacing w:before="8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60000</w:t>
            </w:r>
          </w:p>
        </w:tc>
        <w:tc>
          <w:tcPr>
            <w:tcW w:w="15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6"/>
              <w:spacing w:before="8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48000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67"/>
              <w:spacing w:before="4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长期</w:t>
            </w:r>
          </w:p>
        </w:tc>
        <w:tc>
          <w:tcPr>
            <w:tcW w:w="43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4" w:hRule="atLeast"/>
        </w:trPr>
        <w:tc>
          <w:tcPr>
            <w:tcW w:w="10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" w:right="255"/>
              <w:spacing w:before="28" w:line="23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器官移植术后抗排异治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</w:rPr>
              <w:t>疗</w:t>
            </w:r>
          </w:p>
        </w:tc>
        <w:tc>
          <w:tcPr>
            <w:tcW w:w="1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64"/>
              <w:spacing w:before="22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60000</w:t>
            </w:r>
          </w:p>
        </w:tc>
        <w:tc>
          <w:tcPr>
            <w:tcW w:w="15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6"/>
              <w:spacing w:before="22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48000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67"/>
              <w:spacing w:before="18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长期</w:t>
            </w:r>
          </w:p>
        </w:tc>
        <w:tc>
          <w:tcPr>
            <w:tcW w:w="43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ind w:firstLine="384"/>
              <w:spacing w:before="75" w:line="18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57</w:t>
            </w:r>
          </w:p>
        </w:tc>
        <w:tc>
          <w:tcPr>
            <w:tcW w:w="3886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58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血友病</w:t>
            </w:r>
          </w:p>
        </w:tc>
        <w:tc>
          <w:tcPr>
            <w:tcW w:w="1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24"/>
              <w:spacing w:before="97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5000</w:t>
            </w:r>
          </w:p>
        </w:tc>
        <w:tc>
          <w:tcPr>
            <w:tcW w:w="15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6"/>
              <w:spacing w:before="97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4000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67"/>
              <w:spacing w:before="59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长期</w:t>
            </w:r>
          </w:p>
        </w:tc>
        <w:tc>
          <w:tcPr>
            <w:tcW w:w="434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firstLine="138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不能同时享受</w:t>
            </w:r>
          </w:p>
        </w:tc>
      </w:tr>
      <w:tr>
        <w:trPr>
          <w:trHeight w:val="335" w:hRule="atLeast"/>
        </w:trPr>
        <w:tc>
          <w:tcPr>
            <w:tcW w:w="101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86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5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血友病中型</w:t>
            </w:r>
          </w:p>
        </w:tc>
        <w:tc>
          <w:tcPr>
            <w:tcW w:w="1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64"/>
              <w:spacing w:before="8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40000</w:t>
            </w:r>
          </w:p>
        </w:tc>
        <w:tc>
          <w:tcPr>
            <w:tcW w:w="15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6"/>
              <w:spacing w:before="8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40000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67"/>
              <w:spacing w:before="5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长期</w:t>
            </w:r>
          </w:p>
        </w:tc>
        <w:tc>
          <w:tcPr>
            <w:tcW w:w="434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86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5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血友病重型</w:t>
            </w:r>
          </w:p>
        </w:tc>
        <w:tc>
          <w:tcPr>
            <w:tcW w:w="1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64"/>
              <w:spacing w:before="9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80000</w:t>
            </w:r>
          </w:p>
        </w:tc>
        <w:tc>
          <w:tcPr>
            <w:tcW w:w="15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6"/>
              <w:spacing w:before="9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80000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67"/>
              <w:spacing w:before="6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长期</w:t>
            </w:r>
          </w:p>
        </w:tc>
        <w:tc>
          <w:tcPr>
            <w:tcW w:w="434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4"/>
              <w:spacing w:before="8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58</w:t>
            </w:r>
          </w:p>
        </w:tc>
        <w:tc>
          <w:tcPr>
            <w:tcW w:w="3886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4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特发性血小板减少性紫癜</w:t>
            </w:r>
          </w:p>
        </w:tc>
        <w:tc>
          <w:tcPr>
            <w:tcW w:w="1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24"/>
              <w:spacing w:before="8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3600</w:t>
            </w:r>
          </w:p>
        </w:tc>
        <w:tc>
          <w:tcPr>
            <w:tcW w:w="15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6"/>
              <w:spacing w:before="8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3000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5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2年</w:t>
            </w:r>
          </w:p>
        </w:tc>
        <w:tc>
          <w:tcPr>
            <w:tcW w:w="43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4"/>
              <w:spacing w:before="9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59</w:t>
            </w:r>
          </w:p>
        </w:tc>
        <w:tc>
          <w:tcPr>
            <w:tcW w:w="3886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6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再生障碍性贫血</w:t>
            </w:r>
          </w:p>
        </w:tc>
        <w:tc>
          <w:tcPr>
            <w:tcW w:w="1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64"/>
              <w:spacing w:before="9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24000</w:t>
            </w:r>
          </w:p>
        </w:tc>
        <w:tc>
          <w:tcPr>
            <w:tcW w:w="15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6"/>
              <w:spacing w:before="9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20000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6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2年</w:t>
            </w:r>
          </w:p>
        </w:tc>
        <w:tc>
          <w:tcPr>
            <w:tcW w:w="43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4"/>
              <w:spacing w:before="8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3886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5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骨髓增生异常综合征</w:t>
            </w:r>
          </w:p>
        </w:tc>
        <w:tc>
          <w:tcPr>
            <w:tcW w:w="1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64"/>
              <w:spacing w:before="8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48000</w:t>
            </w:r>
          </w:p>
        </w:tc>
        <w:tc>
          <w:tcPr>
            <w:tcW w:w="15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6"/>
              <w:spacing w:before="8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40000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5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2年</w:t>
            </w:r>
          </w:p>
        </w:tc>
        <w:tc>
          <w:tcPr>
            <w:tcW w:w="434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138" w:right="334"/>
              <w:spacing w:before="74" w:line="27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1.不能同时享受</w:t>
            </w:r>
            <w:r>
              <w:rPr>
                <w:rFonts w:ascii="SimSun" w:hAnsi="SimSun" w:eastAsia="SimSun" w:cs="SimSun"/>
                <w:sz w:val="23"/>
                <w:szCs w:val="23"/>
              </w:rPr>
              <w:t>                  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2.恶性肿瘤放化疗含内分泌、灌注治疗</w:t>
            </w:r>
          </w:p>
        </w:tc>
      </w:tr>
      <w:tr>
        <w:trPr>
          <w:trHeight w:val="33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4"/>
              <w:spacing w:before="8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61</w:t>
            </w:r>
          </w:p>
        </w:tc>
        <w:tc>
          <w:tcPr>
            <w:tcW w:w="3886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5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骨髓增生性疾病</w:t>
            </w:r>
          </w:p>
        </w:tc>
        <w:tc>
          <w:tcPr>
            <w:tcW w:w="1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64"/>
              <w:spacing w:before="8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48000</w:t>
            </w:r>
          </w:p>
        </w:tc>
        <w:tc>
          <w:tcPr>
            <w:tcW w:w="15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6"/>
              <w:spacing w:before="8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40000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5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2年</w:t>
            </w:r>
          </w:p>
        </w:tc>
        <w:tc>
          <w:tcPr>
            <w:tcW w:w="434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1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4"/>
              <w:spacing w:before="8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62</w:t>
            </w:r>
          </w:p>
        </w:tc>
        <w:tc>
          <w:tcPr>
            <w:tcW w:w="3886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4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白血病</w:t>
            </w:r>
          </w:p>
        </w:tc>
        <w:tc>
          <w:tcPr>
            <w:tcW w:w="1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64"/>
              <w:spacing w:before="8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48000</w:t>
            </w:r>
          </w:p>
        </w:tc>
        <w:tc>
          <w:tcPr>
            <w:tcW w:w="15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6"/>
              <w:spacing w:before="8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40000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5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2年</w:t>
            </w:r>
          </w:p>
        </w:tc>
        <w:tc>
          <w:tcPr>
            <w:tcW w:w="434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10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ind w:firstLine="384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63</w:t>
            </w:r>
          </w:p>
        </w:tc>
        <w:tc>
          <w:tcPr>
            <w:tcW w:w="119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74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恶性肿瘤</w:t>
            </w:r>
          </w:p>
        </w:tc>
        <w:tc>
          <w:tcPr>
            <w:tcW w:w="2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3"/>
              <w:spacing w:before="5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门诊治疗</w:t>
            </w:r>
          </w:p>
        </w:tc>
        <w:tc>
          <w:tcPr>
            <w:tcW w:w="1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24"/>
              <w:spacing w:before="8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5000</w:t>
            </w:r>
          </w:p>
        </w:tc>
        <w:tc>
          <w:tcPr>
            <w:tcW w:w="15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6"/>
              <w:spacing w:before="8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4100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67"/>
              <w:spacing w:before="5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长期</w:t>
            </w:r>
          </w:p>
        </w:tc>
        <w:tc>
          <w:tcPr>
            <w:tcW w:w="434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01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3"/>
              <w:spacing w:before="6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放化疗</w:t>
            </w:r>
          </w:p>
        </w:tc>
        <w:tc>
          <w:tcPr>
            <w:tcW w:w="1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64"/>
              <w:spacing w:before="9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24000</w:t>
            </w:r>
          </w:p>
        </w:tc>
        <w:tc>
          <w:tcPr>
            <w:tcW w:w="15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6"/>
              <w:spacing w:before="9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20000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6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2年</w:t>
            </w:r>
          </w:p>
        </w:tc>
        <w:tc>
          <w:tcPr>
            <w:tcW w:w="434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0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3"/>
              <w:spacing w:before="5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靶向治疗</w:t>
            </w:r>
          </w:p>
        </w:tc>
        <w:tc>
          <w:tcPr>
            <w:tcW w:w="1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64"/>
              <w:spacing w:before="9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48000</w:t>
            </w:r>
          </w:p>
        </w:tc>
        <w:tc>
          <w:tcPr>
            <w:tcW w:w="15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6"/>
              <w:spacing w:before="9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40000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6"/>
              <w:spacing w:before="6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1"/>
                <w:w w:val="98"/>
              </w:rPr>
              <w:t>1</w:t>
            </w:r>
            <w:r>
              <w:rPr>
                <w:rFonts w:ascii="SimSun" w:hAnsi="SimSun" w:eastAsia="SimSun" w:cs="SimSun"/>
                <w:sz w:val="23"/>
                <w:szCs w:val="23"/>
                <w:spacing w:val="-62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-11"/>
                <w:w w:val="98"/>
              </w:rPr>
              <w:t>年</w:t>
            </w:r>
          </w:p>
        </w:tc>
        <w:tc>
          <w:tcPr>
            <w:tcW w:w="434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6530" w:h="11610"/>
          <w:pgMar w:top="986" w:right="1485" w:bottom="1591" w:left="1104" w:header="0" w:footer="1337" w:gutter="0"/>
        </w:sectPr>
        <w:rPr/>
      </w:pPr>
    </w:p>
    <w:p>
      <w:pPr>
        <w:spacing w:line="460" w:lineRule="auto"/>
        <w:rPr>
          <w:rFonts w:ascii="Arial"/>
          <w:sz w:val="21"/>
        </w:rPr>
      </w:pPr>
      <w:r/>
    </w:p>
    <w:p>
      <w:pPr>
        <w:ind w:firstLine="34"/>
        <w:spacing w:before="110" w:line="224" w:lineRule="auto"/>
        <w:rPr>
          <w:rFonts w:ascii="YouYuan" w:hAnsi="YouYuan" w:eastAsia="YouYuan" w:cs="YouYuan"/>
          <w:sz w:val="34"/>
          <w:szCs w:val="34"/>
        </w:rPr>
      </w:pPr>
      <w:r>
        <w:rPr>
          <w:rFonts w:ascii="YouYuan" w:hAnsi="YouYuan" w:eastAsia="YouYuan" w:cs="YouYuan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附件2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3264"/>
        <w:spacing w:before="110" w:line="220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相关联病种范围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firstLine="670"/>
        <w:spacing w:before="11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  <w:w w:val="97"/>
        </w:rPr>
        <w:t>1.高血压、冠心病、心功能不全、脑卒中</w:t>
      </w:r>
    </w:p>
    <w:p>
      <w:pPr>
        <w:ind w:firstLine="639"/>
        <w:spacing w:before="130" w:line="304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  <w:w w:val="97"/>
        </w:rPr>
        <w:t>2.白塞氏病、系统性硬化病、干燥综合征、多发性肌炎、皮</w:t>
      </w:r>
      <w:r>
        <w:rPr>
          <w:rFonts w:ascii="FangSong" w:hAnsi="FangSong" w:eastAsia="FangSong" w:cs="FangSong"/>
          <w:sz w:val="34"/>
          <w:szCs w:val="34"/>
          <w:spacing w:val="78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</w:rPr>
        <w:t>肌炎、结节性多动脉炎、ANCA相关血管炎</w:t>
      </w:r>
    </w:p>
    <w:p>
      <w:pPr>
        <w:sectPr>
          <w:footerReference w:type="default" r:id="rId11"/>
          <w:pgSz w:w="11590" w:h="16570"/>
          <w:pgMar w:top="1408" w:right="1419" w:bottom="1552" w:left="1310" w:header="0" w:footer="1293" w:gutter="0"/>
        </w:sectPr>
        <w:rPr/>
      </w:pPr>
    </w:p>
    <w:p>
      <w:pPr>
        <w:ind w:firstLine="1099"/>
        <w:spacing w:before="73" w:line="224" w:lineRule="auto"/>
        <w:rPr>
          <w:rFonts w:ascii="YouYuan" w:hAnsi="YouYuan" w:eastAsia="YouYuan" w:cs="YouYuan"/>
          <w:sz w:val="34"/>
          <w:szCs w:val="34"/>
        </w:rPr>
      </w:pPr>
      <w:r>
        <w:rPr>
          <w:rFonts w:ascii="YouYuan" w:hAnsi="YouYuan" w:eastAsia="YouYuan" w:cs="YouYuan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</w:rPr>
        <w:t>附件3</w:t>
      </w:r>
    </w:p>
    <w:p>
      <w:pPr>
        <w:ind w:firstLine="1979"/>
        <w:spacing w:before="153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</w:rPr>
        <w:t>合肥市基本医疗保险慢特病门诊待遇申请表</w:t>
      </w:r>
    </w:p>
    <w:p>
      <w:pPr>
        <w:ind w:firstLine="75"/>
        <w:spacing w:before="260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4"/>
        </w:rPr>
        <w:t>参保类别(□城镇职工医保、□城乡居民医保)</w:t>
      </w:r>
    </w:p>
    <w:p>
      <w:pPr>
        <w:spacing w:line="68" w:lineRule="exact"/>
        <w:rPr/>
      </w:pPr>
      <w:r/>
    </w:p>
    <w:tbl>
      <w:tblPr>
        <w:tblStyle w:val="2"/>
        <w:tblW w:w="10285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41"/>
        <w:gridCol w:w="239"/>
        <w:gridCol w:w="259"/>
        <w:gridCol w:w="239"/>
        <w:gridCol w:w="239"/>
        <w:gridCol w:w="229"/>
        <w:gridCol w:w="239"/>
        <w:gridCol w:w="219"/>
        <w:gridCol w:w="209"/>
        <w:gridCol w:w="259"/>
        <w:gridCol w:w="239"/>
        <w:gridCol w:w="485"/>
        <w:gridCol w:w="495"/>
        <w:gridCol w:w="478"/>
        <w:gridCol w:w="1186"/>
        <w:gridCol w:w="239"/>
        <w:gridCol w:w="229"/>
        <w:gridCol w:w="219"/>
        <w:gridCol w:w="331"/>
        <w:gridCol w:w="448"/>
        <w:gridCol w:w="239"/>
        <w:gridCol w:w="219"/>
        <w:gridCol w:w="229"/>
        <w:gridCol w:w="219"/>
        <w:gridCol w:w="239"/>
        <w:gridCol w:w="239"/>
        <w:gridCol w:w="209"/>
        <w:gridCol w:w="458"/>
        <w:gridCol w:w="229"/>
        <w:gridCol w:w="239"/>
        <w:gridCol w:w="145"/>
      </w:tblGrid>
      <w:tr>
        <w:trPr>
          <w:trHeight w:val="360" w:hRule="atLeast"/>
        </w:trPr>
        <w:tc>
          <w:tcPr>
            <w:tcW w:w="11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24"/>
              <w:spacing w:before="6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姓名</w:t>
            </w:r>
          </w:p>
        </w:tc>
        <w:tc>
          <w:tcPr>
            <w:tcW w:w="1872" w:type="dxa"/>
            <w:vAlign w:val="top"/>
            <w:gridSpan w:val="8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"/>
              <w:spacing w:before="60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性别</w:t>
            </w:r>
          </w:p>
        </w:tc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"/>
              <w:spacing w:before="6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年龄</w:t>
            </w:r>
          </w:p>
        </w:tc>
        <w:tc>
          <w:tcPr>
            <w:tcW w:w="4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6"/>
              <w:spacing w:before="6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身份证号</w:t>
            </w:r>
          </w:p>
        </w:tc>
        <w:tc>
          <w:tcPr>
            <w:tcW w:w="2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1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85"/>
              <w:spacing w:before="5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社保卡号</w:t>
            </w:r>
          </w:p>
        </w:tc>
        <w:tc>
          <w:tcPr>
            <w:tcW w:w="2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9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5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是否退休</w:t>
            </w:r>
          </w:p>
        </w:tc>
        <w:tc>
          <w:tcPr>
            <w:tcW w:w="4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6"/>
              <w:spacing w:before="5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联系电话</w:t>
            </w:r>
          </w:p>
        </w:tc>
        <w:tc>
          <w:tcPr>
            <w:tcW w:w="4130" w:type="dxa"/>
            <w:vAlign w:val="top"/>
            <w:gridSpan w:val="1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5" w:hRule="atLeast"/>
        </w:trPr>
        <w:tc>
          <w:tcPr>
            <w:tcW w:w="11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 w:right="64"/>
              <w:spacing w:before="9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申请定点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服务机构</w:t>
            </w:r>
          </w:p>
        </w:tc>
        <w:tc>
          <w:tcPr>
            <w:tcW w:w="9144" w:type="dxa"/>
            <w:vAlign w:val="top"/>
            <w:gridSpan w:val="30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12" w:hRule="atLeast"/>
        </w:trPr>
        <w:tc>
          <w:tcPr>
            <w:tcW w:w="11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firstLine="324"/>
              <w:spacing w:before="78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申请</w:t>
            </w:r>
          </w:p>
          <w:p>
            <w:pPr>
              <w:ind w:firstLine="324"/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病种</w:t>
            </w:r>
          </w:p>
        </w:tc>
        <w:tc>
          <w:tcPr>
            <w:tcW w:w="9144" w:type="dxa"/>
            <w:vAlign w:val="top"/>
            <w:gridSpan w:val="30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 w:firstLine="9"/>
              <w:spacing w:before="108" w:line="25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  <w:w w:val="101"/>
              </w:rPr>
              <w:t>1□高血压(高血压、高血压伴并发症)2□冠心病3□心功能不全4□慢性阻塞性肺疾病</w:t>
            </w:r>
            <w:r>
              <w:rPr>
                <w:rFonts w:ascii="SimSun" w:hAnsi="SimSun" w:eastAsia="SimSun" w:cs="SimSun"/>
                <w:sz w:val="23"/>
                <w:szCs w:val="23"/>
                <w:spacing w:val="21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  <w:w w:val="102"/>
              </w:rPr>
              <w:t>5口支气管哮喘6□肺动脉高压7□特发性肺纤维化8□溃疡性结肠炎9□克罗恩病10□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  <w:w w:val="101"/>
              </w:rPr>
              <w:t>肝硬化11□晚期血吸虫病12□自身免疫性肝病13□慢性肾脏病14□肾病综合征15□慢</w:t>
            </w:r>
            <w:r>
              <w:rPr>
                <w:rFonts w:ascii="SimSun" w:hAnsi="SimSun" w:eastAsia="SimSun" w:cs="SimSun"/>
                <w:sz w:val="23"/>
                <w:szCs w:val="23"/>
                <w:spacing w:val="32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  <w:w w:val="104"/>
              </w:rPr>
              <w:t>性肾衰竭(尿毒症期)16□糖尿病(糖尿病、糖尿病胰岛素治疗)17□甲状腺功能亢进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18□甲状腺功能减退19□肢端肥大症20□脑卒中21□癫痫22□帕金森综合征23□阿尔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  <w:w w:val="103"/>
              </w:rPr>
              <w:t>茨海默病(老年痴呆)24□肝豆状核变性25□重症肌无力26□肌萎缩侧索硬化症27□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 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  <w:w w:val="102"/>
              </w:rPr>
              <w:t>多发性硬化28口青光眼29□黄斑性眼病30□银屑病(轻型、生物制剂治疗)31□白癜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 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  <w:w w:val="101"/>
              </w:rPr>
              <w:t>风32□重度特应性皮炎33□精神障碍34□慢性乙型肝炎35□慢性丙型肝炎(1b型、非</w:t>
            </w:r>
            <w:r>
              <w:rPr>
                <w:rFonts w:ascii="SimSun" w:hAnsi="SimSun" w:eastAsia="SimSun" w:cs="SimSun"/>
                <w:sz w:val="23"/>
                <w:szCs w:val="23"/>
                <w:spacing w:val="27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  <w:w w:val="104"/>
              </w:rPr>
              <w:t>lb型)36□结核病(结核病、耐药性结核病)37□艾滋病38□类风湿性关节炎39□强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 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  <w:w w:val="101"/>
              </w:rPr>
              <w:t>直性脊柱炎40□系统性红斑狼疮41□白塞氏病42□系统性硬化症43□干燥综合征44□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多发性肌炎肌45□皮肌炎</w:t>
            </w:r>
            <w:r>
              <w:rPr>
                <w:rFonts w:ascii="SimSun" w:hAnsi="SimSun" w:eastAsia="SimSun" w:cs="SimSun"/>
                <w:sz w:val="23"/>
                <w:szCs w:val="23"/>
                <w:spacing w:val="47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46□结节性多动脉炎47□ANCA相关血管炎</w:t>
            </w:r>
            <w:r>
              <w:rPr>
                <w:rFonts w:ascii="SimSun" w:hAnsi="SimSun" w:eastAsia="SimSun" w:cs="SimSun"/>
                <w:sz w:val="23"/>
                <w:szCs w:val="23"/>
                <w:spacing w:val="22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48□先天性免疫</w:t>
            </w:r>
            <w:r>
              <w:rPr>
                <w:rFonts w:ascii="SimSun" w:hAnsi="SimSun" w:eastAsia="SimSun" w:cs="SimSun"/>
                <w:sz w:val="23"/>
                <w:szCs w:val="23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  <w:w w:val="99"/>
              </w:rPr>
              <w:t>蛋白缺乏症49口生长激素缺乏症50□普拉德-威利综合征51□脑瘫52□尼曼匹克病53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  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  <w:w w:val="103"/>
              </w:rPr>
              <w:t>心脏瓣膜置换术后54□血管支架植入术后55□心脏冠脉搭桥术后56□器官移植术后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 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  <w:w w:val="102"/>
              </w:rPr>
              <w:t>(肝、造血干、实体器官)57□血友病(轻型、中型、重型)58□特发性血小板减少性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 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紫癜59口再生障碍性贫血60□骨髓增生异常综合征61□骨髓增生性疾病62□白血病63</w:t>
            </w:r>
            <w:r>
              <w:rPr>
                <w:rFonts w:ascii="SimSun" w:hAnsi="SimSun" w:eastAsia="SimSun" w:cs="SimSun"/>
                <w:sz w:val="23"/>
                <w:szCs w:val="23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  <w:w w:val="102"/>
              </w:rPr>
              <w:t>□恶性肿瘤门诊治疗、放化疗、靶向治疗)</w:t>
            </w:r>
          </w:p>
        </w:tc>
      </w:tr>
      <w:tr>
        <w:trPr>
          <w:trHeight w:val="1639" w:hRule="atLeast"/>
        </w:trPr>
        <w:tc>
          <w:tcPr>
            <w:tcW w:w="114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324"/>
              <w:spacing w:before="78" w:line="33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  <w:position w:val="6"/>
              </w:rPr>
              <w:t>专家</w:t>
            </w:r>
          </w:p>
          <w:p>
            <w:pPr>
              <w:ind w:firstLine="324"/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认定</w:t>
            </w:r>
          </w:p>
          <w:p>
            <w:pPr>
              <w:ind w:firstLine="324"/>
              <w:spacing w:before="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意见</w:t>
            </w:r>
          </w:p>
        </w:tc>
        <w:tc>
          <w:tcPr>
            <w:tcW w:w="2855" w:type="dxa"/>
            <w:vAlign w:val="top"/>
            <w:gridSpan w:val="11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firstLine="44"/>
              <w:spacing w:before="78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□符合条件,同意准入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firstLine="4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□不符合准入条件</w:t>
            </w:r>
          </w:p>
        </w:tc>
        <w:tc>
          <w:tcPr>
            <w:tcW w:w="3177" w:type="dxa"/>
            <w:vAlign w:val="top"/>
            <w:gridSpan w:val="7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39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疾病诊断: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3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使用的主要药品:</w:t>
            </w:r>
          </w:p>
        </w:tc>
        <w:tc>
          <w:tcPr>
            <w:tcW w:w="3112" w:type="dxa"/>
            <w:vAlign w:val="top"/>
            <w:gridSpan w:val="12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ind w:firstLine="32"/>
              <w:spacing w:before="6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待遇享受期限: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firstLine="812"/>
              <w:spacing w:before="78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年___个月</w:t>
            </w:r>
          </w:p>
        </w:tc>
      </w:tr>
      <w:tr>
        <w:trPr>
          <w:trHeight w:val="945" w:hRule="atLeast"/>
        </w:trPr>
        <w:tc>
          <w:tcPr>
            <w:tcW w:w="114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5" w:type="dxa"/>
            <w:vAlign w:val="top"/>
            <w:gridSpan w:val="11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77" w:type="dxa"/>
            <w:vAlign w:val="top"/>
            <w:gridSpan w:val="7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  <w:gridSpan w:val="12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firstLine="32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口长期</w:t>
            </w:r>
          </w:p>
        </w:tc>
      </w:tr>
      <w:tr>
        <w:trPr>
          <w:trHeight w:val="1759" w:hRule="atLeast"/>
        </w:trPr>
        <w:tc>
          <w:tcPr>
            <w:tcW w:w="114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4" w:type="dxa"/>
            <w:vAlign w:val="top"/>
            <w:gridSpan w:val="30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>
              <w:pict>
                <v:shape id="_x0000_s1" style="position:absolute;margin-left:-431.998pt;margin-top:52.4647pt;mso-position-vertical-relative:top-margin-area;mso-position-horizontal-relative:right-margin-area;width:58.45pt;height:16.35pt;z-index:25167155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9"/>
                          </w:rPr>
                          <w:t>专家签名: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firstLine="6274"/>
              <w:spacing w:before="78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  <w:position w:val="-1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  <w:position w:val="-1"/>
              </w:rPr>
              <w:t> 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 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</w:tbl>
    <w:p>
      <w:pPr>
        <w:spacing w:line="330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795"/>
        <w:spacing w:line="40" w:lineRule="exact"/>
        <w:textAlignment w:val="center"/>
        <w:rPr/>
      </w:pPr>
      <w:r>
        <w:drawing>
          <wp:inline distT="0" distB="0" distL="0" distR="0">
            <wp:extent cx="5619722" cy="25431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9722" cy="2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114"/>
        <w:spacing w:before="132" w:line="21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4"/>
          <w:position w:val="-2"/>
        </w:rPr>
        <w:t>合肥市医疗保障局</w:t>
      </w:r>
      <w:r>
        <w:rPr>
          <w:rFonts w:ascii="FangSong" w:hAnsi="FangSong" w:eastAsia="FangSong" w:cs="FangSong"/>
          <w:sz w:val="34"/>
          <w:szCs w:val="34"/>
          <w:spacing w:val="12"/>
          <w:position w:val="-2"/>
        </w:rPr>
        <w:t>              </w:t>
      </w:r>
      <w:r>
        <w:rPr>
          <w:rFonts w:ascii="FangSong" w:hAnsi="FangSong" w:eastAsia="FangSong" w:cs="FangSong"/>
          <w:sz w:val="34"/>
          <w:szCs w:val="34"/>
          <w:spacing w:val="-4"/>
          <w:position w:val="1"/>
        </w:rPr>
        <w:t>2021年12月31日印发</w:t>
      </w:r>
    </w:p>
    <w:p>
      <w:pPr>
        <w:ind w:firstLine="765"/>
        <w:spacing w:line="40" w:lineRule="exact"/>
        <w:textAlignment w:val="center"/>
        <w:rPr/>
      </w:pPr>
      <w:r>
        <w:drawing>
          <wp:inline distT="0" distB="0" distL="0" distR="0">
            <wp:extent cx="5619722" cy="2543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9722" cy="2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64"/>
        <w:spacing w:before="212" w:line="187" w:lineRule="auto"/>
        <w:tabs>
          <w:tab w:val="left" w:pos="1375"/>
        </w:tabs>
        <w:rPr>
          <w:rFonts w:ascii="SimSun" w:hAnsi="SimSun" w:eastAsia="SimSun" w:cs="SimSun"/>
          <w:sz w:val="38"/>
          <w:szCs w:val="38"/>
        </w:rPr>
      </w:pPr>
      <w:r>
        <w:rPr>
          <w:rFonts w:ascii="Arial" w:hAnsi="Arial" w:eastAsia="Arial" w:cs="Arial"/>
          <w:sz w:val="38"/>
          <w:szCs w:val="38"/>
          <w:u w:val="single" w:color="auto"/>
        </w:rPr>
        <w:tab/>
      </w:r>
      <w:r>
        <w:rPr>
          <w:rFonts w:ascii="SimSun" w:hAnsi="SimSun" w:eastAsia="SimSun" w:cs="SimSun"/>
          <w:sz w:val="38"/>
          <w:szCs w:val="38"/>
          <w:spacing w:val="-15"/>
        </w:rPr>
        <w:t>14─</w:t>
      </w:r>
    </w:p>
    <w:sectPr>
      <w:footerReference w:type="default" r:id="rId4"/>
      <w:pgSz w:w="11590" w:h="16570"/>
      <w:pgMar w:top="1408" w:right="689" w:bottom="400" w:left="604" w:header="0" w:footer="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610"/>
      <w:spacing w:line="184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12"/>
        <w:w w:val="78"/>
      </w:rPr>
      <w:t>──3──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620"/>
      <w:spacing w:line="260" w:lineRule="exact"/>
      <w:rPr>
        <w:rFonts w:ascii="FangSong" w:hAnsi="FangSong" w:eastAsia="FangSong" w:cs="FangSong"/>
        <w:sz w:val="38"/>
        <w:szCs w:val="38"/>
      </w:rPr>
    </w:pPr>
    <w:r>
      <w:rPr>
        <w:rFonts w:ascii="FangSong" w:hAnsi="FangSong" w:eastAsia="FangSong" w:cs="FangSong"/>
        <w:sz w:val="38"/>
        <w:szCs w:val="38"/>
        <w:position w:val="-5"/>
      </w:rPr>
      <w:t>─5─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90"/>
      <w:spacing w:line="263" w:lineRule="exact"/>
      <w:rPr>
        <w:rFonts w:ascii="FangSong" w:hAnsi="FangSong" w:eastAsia="FangSong" w:cs="FangSong"/>
        <w:sz w:val="38"/>
        <w:szCs w:val="38"/>
      </w:rPr>
    </w:pPr>
    <w:r>
      <w:rPr>
        <w:rFonts w:ascii="FangSong" w:hAnsi="FangSong" w:eastAsia="FangSong" w:cs="FangSong"/>
        <w:sz w:val="38"/>
        <w:szCs w:val="38"/>
        <w:spacing w:val="-11"/>
        <w:position w:val="-5"/>
      </w:rPr>
      <w:t>─6─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609"/>
      <w:spacing w:line="263" w:lineRule="exact"/>
      <w:rPr>
        <w:rFonts w:ascii="YouYuan" w:hAnsi="YouYuan" w:eastAsia="YouYuan" w:cs="YouYuan"/>
        <w:sz w:val="38"/>
        <w:szCs w:val="38"/>
      </w:rPr>
    </w:pPr>
    <w:r>
      <w:rPr>
        <w:rFonts w:ascii="YouYuan" w:hAnsi="YouYuan" w:eastAsia="YouYuan" w:cs="YouYuan"/>
        <w:sz w:val="38"/>
        <w:szCs w:val="38"/>
        <w:position w:val="-5"/>
      </w:rPr>
      <w:t>─7─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2334"/>
      <w:spacing w:line="266" w:lineRule="exact"/>
      <w:rPr>
        <w:rFonts w:ascii="SimSun" w:hAnsi="SimSun" w:eastAsia="SimSun" w:cs="SimSun"/>
        <w:sz w:val="38"/>
        <w:szCs w:val="38"/>
      </w:rPr>
    </w:pPr>
    <w:r>
      <w:rPr>
        <w:rFonts w:ascii="SimSun" w:hAnsi="SimSun" w:eastAsia="SimSun" w:cs="SimSun"/>
        <w:sz w:val="38"/>
        <w:szCs w:val="38"/>
        <w:position w:val="-5"/>
      </w:rPr>
      <w:t>─9─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2204"/>
      <w:spacing w:line="250" w:lineRule="exact"/>
      <w:rPr>
        <w:rFonts w:ascii="SimSun" w:hAnsi="SimSun" w:eastAsia="SimSun" w:cs="SimSun"/>
        <w:sz w:val="36"/>
        <w:szCs w:val="36"/>
      </w:rPr>
    </w:pPr>
    <w:r>
      <w:rPr>
        <w:rFonts w:ascii="SimSun" w:hAnsi="SimSun" w:eastAsia="SimSun" w:cs="SimSun"/>
        <w:sz w:val="36"/>
        <w:szCs w:val="36"/>
        <w:spacing w:val="-13"/>
        <w:position w:val="-5"/>
      </w:rPr>
      <w:t>-</w:t>
    </w:r>
    <w:r>
      <w:rPr>
        <w:rFonts w:ascii="SimSun" w:hAnsi="SimSun" w:eastAsia="SimSun" w:cs="SimSun"/>
        <w:sz w:val="36"/>
        <w:szCs w:val="36"/>
        <w:spacing w:val="40"/>
        <w:position w:val="-5"/>
      </w:rPr>
      <w:t> </w:t>
    </w:r>
    <w:r>
      <w:rPr>
        <w:rFonts w:ascii="SimSun" w:hAnsi="SimSun" w:eastAsia="SimSun" w:cs="SimSun"/>
        <w:sz w:val="36"/>
        <w:szCs w:val="36"/>
        <w:spacing w:val="-13"/>
        <w:position w:val="-5"/>
      </w:rPr>
      <w:t>11</w:t>
    </w:r>
    <w:r>
      <w:rPr>
        <w:rFonts w:ascii="SimSun" w:hAnsi="SimSun" w:eastAsia="SimSun" w:cs="SimSun"/>
        <w:sz w:val="36"/>
        <w:szCs w:val="36"/>
        <w:spacing w:val="11"/>
        <w:position w:val="-5"/>
      </w:rPr>
      <w:t> </w:t>
    </w:r>
    <w:r>
      <w:rPr>
        <w:rFonts w:ascii="SimSun" w:hAnsi="SimSun" w:eastAsia="SimSun" w:cs="SimSun"/>
        <w:sz w:val="36"/>
        <w:szCs w:val="36"/>
        <w:spacing w:val="-13"/>
        <w:position w:val="-5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05"/>
      <w:spacing w:line="253" w:lineRule="exact"/>
      <w:rPr>
        <w:rFonts w:ascii="YouYuan" w:hAnsi="YouYuan" w:eastAsia="YouYuan" w:cs="YouYuan"/>
        <w:sz w:val="36"/>
        <w:szCs w:val="36"/>
      </w:rPr>
    </w:pPr>
    <w:r>
      <w:rPr>
        <w:rFonts w:ascii="YouYuan" w:hAnsi="YouYuan" w:eastAsia="YouYuan" w:cs="YouYuan"/>
        <w:sz w:val="36"/>
        <w:szCs w:val="36"/>
        <w:position w:val="-5"/>
      </w:rPr>
      <w:t>─12─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49"/>
      <w:spacing w:line="184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</w:rPr>
      <w:t>─13──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image" Target="media/image2.png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2022-01-21T15:53:23</vt:filetime>
  </op:property>
</op:Properties>
</file>